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2CE2" w:rsidRPr="00BC0C6D" w:rsidRDefault="00ED2CE2" w:rsidP="00ED2CE2">
      <w:pPr>
        <w:pStyle w:val="Title"/>
      </w:pPr>
      <w:r w:rsidRPr="00BC0C6D">
        <w:t>GNSO Operating Procedures</w:t>
      </w:r>
    </w:p>
    <w:p w:rsidR="00ED2CE2" w:rsidRDefault="00ED2CE2" w:rsidP="00ED2CE2">
      <w:pPr>
        <w:pStyle w:val="Title"/>
        <w:rPr>
          <w:sz w:val="28"/>
          <w:szCs w:val="28"/>
        </w:rPr>
      </w:pPr>
    </w:p>
    <w:p w:rsidR="00ED2CE2" w:rsidRDefault="00ED2CE2" w:rsidP="00ED2CE2">
      <w:pPr>
        <w:pStyle w:val="Title"/>
        <w:rPr>
          <w:sz w:val="28"/>
          <w:szCs w:val="28"/>
        </w:rPr>
      </w:pPr>
      <w:r>
        <w:rPr>
          <w:sz w:val="28"/>
          <w:szCs w:val="28"/>
        </w:rPr>
        <w:t xml:space="preserve">Proposed Revisions to Section 5.0 Provided by the </w:t>
      </w:r>
    </w:p>
    <w:p w:rsidR="00ED2CE2" w:rsidRDefault="00ED2CE2" w:rsidP="00ED2CE2">
      <w:pPr>
        <w:pStyle w:val="Title"/>
        <w:rPr>
          <w:sz w:val="28"/>
          <w:szCs w:val="28"/>
        </w:rPr>
      </w:pPr>
      <w:r>
        <w:rPr>
          <w:sz w:val="28"/>
          <w:szCs w:val="28"/>
        </w:rPr>
        <w:t>GNSO Council Operations Work Team</w:t>
      </w:r>
    </w:p>
    <w:p w:rsidR="00ED2CE2" w:rsidRDefault="00ED2CE2" w:rsidP="00ED2CE2">
      <w:pPr>
        <w:pStyle w:val="Title"/>
        <w:rPr>
          <w:sz w:val="28"/>
          <w:szCs w:val="28"/>
        </w:rPr>
      </w:pPr>
      <w:r>
        <w:rPr>
          <w:sz w:val="28"/>
          <w:szCs w:val="28"/>
        </w:rPr>
        <w:t>For Consideration by the Operations Steering Committee (OSC)</w:t>
      </w:r>
    </w:p>
    <w:p w:rsidR="00ED2CE2" w:rsidRPr="00BC0C6D" w:rsidRDefault="00ED2CE2" w:rsidP="00ED2CE2">
      <w:pPr>
        <w:pStyle w:val="Title"/>
        <w:rPr>
          <w:sz w:val="28"/>
          <w:szCs w:val="28"/>
        </w:rPr>
      </w:pPr>
      <w:r>
        <w:rPr>
          <w:sz w:val="28"/>
          <w:szCs w:val="28"/>
        </w:rPr>
        <w:t>15 October 2010</w:t>
      </w:r>
    </w:p>
    <w:p w:rsidR="00ED2CE2" w:rsidRDefault="00ED2CE2" w:rsidP="00ED2CE2">
      <w:pPr>
        <w:pStyle w:val="Heading1"/>
      </w:pPr>
      <w:bookmarkStart w:id="0" w:name="_Toc267927295"/>
      <w:r>
        <w:t>5.0</w:t>
      </w:r>
      <w:r>
        <w:tab/>
        <w:t>Statements and Disclosures of Interest</w:t>
      </w:r>
      <w:bookmarkEnd w:id="0"/>
      <w:r>
        <w:t xml:space="preserve"> </w:t>
      </w:r>
    </w:p>
    <w:p w:rsidR="00ED2CE2" w:rsidRPr="004C7B0D" w:rsidRDefault="00ED2CE2" w:rsidP="00ED2CE2">
      <w:pPr>
        <w:pStyle w:val="Heading2"/>
        <w:spacing w:before="240"/>
        <w:ind w:left="547" w:hanging="547"/>
      </w:pPr>
      <w:bookmarkStart w:id="1" w:name="_Toc267927296"/>
      <w:r>
        <w:t>5.1</w:t>
      </w:r>
      <w:r>
        <w:tab/>
      </w:r>
      <w:r w:rsidRPr="004C7B0D">
        <w:t>Definitions</w:t>
      </w:r>
      <w:bookmarkEnd w:id="1"/>
    </w:p>
    <w:p w:rsidR="00ED2CE2" w:rsidRPr="004C7B0D" w:rsidRDefault="00ED2CE2" w:rsidP="00ED2CE2">
      <w:pPr>
        <w:rPr>
          <w:rFonts w:eastAsia="Times New Roman"/>
          <w:color w:val="000000"/>
          <w:szCs w:val="24"/>
        </w:rPr>
      </w:pPr>
    </w:p>
    <w:p w:rsidR="00ED2CE2" w:rsidRPr="004C7B0D" w:rsidRDefault="00ED2CE2" w:rsidP="00ED2CE2">
      <w:pPr>
        <w:rPr>
          <w:rFonts w:eastAsia="Times New Roman"/>
          <w:color w:val="000000"/>
          <w:szCs w:val="24"/>
        </w:rPr>
      </w:pPr>
      <w:r w:rsidRPr="004C7B0D">
        <w:rPr>
          <w:rFonts w:eastAsia="Times New Roman"/>
          <w:color w:val="000000"/>
          <w:szCs w:val="24"/>
        </w:rPr>
        <w:t>Generic Names Supporting Organization (GNSO) Group:</w:t>
      </w:r>
    </w:p>
    <w:p w:rsidR="00ED2CE2" w:rsidRPr="00576258" w:rsidRDefault="00ED2CE2" w:rsidP="00ED2CE2">
      <w:pPr>
        <w:numPr>
          <w:ilvl w:val="0"/>
          <w:numId w:val="22"/>
        </w:numPr>
        <w:spacing w:before="120"/>
        <w:ind w:left="1080"/>
      </w:pPr>
      <w:r w:rsidRPr="00576258">
        <w:t>the GNSO Council, or</w:t>
      </w:r>
    </w:p>
    <w:p w:rsidR="00ED2CE2" w:rsidRPr="00576258" w:rsidRDefault="00ED2CE2" w:rsidP="00ED2CE2">
      <w:pPr>
        <w:numPr>
          <w:ilvl w:val="0"/>
          <w:numId w:val="22"/>
        </w:numPr>
        <w:spacing w:before="120"/>
        <w:ind w:left="1080"/>
      </w:pPr>
      <w:r w:rsidRPr="00576258">
        <w:t>a work team, working group, committee or other such policy development body formed by and under the supervision of the GNSO Council.</w:t>
      </w:r>
    </w:p>
    <w:p w:rsidR="00ED2CE2" w:rsidRPr="004C7B0D" w:rsidRDefault="00ED2CE2" w:rsidP="00ED2CE2">
      <w:pPr>
        <w:ind w:left="900"/>
        <w:rPr>
          <w:rFonts w:eastAsia="Times New Roman"/>
          <w:color w:val="000000"/>
          <w:szCs w:val="24"/>
        </w:rPr>
      </w:pPr>
    </w:p>
    <w:p w:rsidR="00ED2CE2" w:rsidRPr="004C7B0D" w:rsidRDefault="00ED2CE2" w:rsidP="00ED2CE2">
      <w:pPr>
        <w:rPr>
          <w:rFonts w:eastAsia="Times New Roman"/>
          <w:color w:val="000000"/>
          <w:szCs w:val="24"/>
        </w:rPr>
      </w:pPr>
      <w:r w:rsidRPr="004C7B0D">
        <w:rPr>
          <w:rFonts w:eastAsia="Times New Roman"/>
          <w:bCs/>
          <w:szCs w:val="24"/>
          <w:u w:val="single"/>
        </w:rPr>
        <w:t>Relevant Party</w:t>
      </w:r>
      <w:r w:rsidRPr="004C7B0D">
        <w:rPr>
          <w:rFonts w:eastAsia="Times New Roman"/>
          <w:bCs/>
          <w:szCs w:val="24"/>
        </w:rPr>
        <w:t xml:space="preserve">: </w:t>
      </w:r>
      <w:r>
        <w:rPr>
          <w:rFonts w:eastAsia="Times New Roman"/>
          <w:bCs/>
          <w:szCs w:val="24"/>
        </w:rPr>
        <w:t xml:space="preserve"> </w:t>
      </w:r>
      <w:r w:rsidRPr="004C7B0D">
        <w:rPr>
          <w:rFonts w:eastAsia="Times New Roman"/>
          <w:color w:val="000000"/>
          <w:szCs w:val="24"/>
        </w:rPr>
        <w:t>An individual who participates as a member of a GNSO Group.</w:t>
      </w:r>
    </w:p>
    <w:p w:rsidR="00ED2CE2" w:rsidRPr="004C7B0D" w:rsidRDefault="00ED2CE2" w:rsidP="00ED2CE2">
      <w:pPr>
        <w:rPr>
          <w:rFonts w:eastAsia="Times New Roman"/>
          <w:szCs w:val="24"/>
          <w:u w:val="single"/>
        </w:rPr>
      </w:pPr>
    </w:p>
    <w:p w:rsidR="00ED2CE2" w:rsidRPr="004C7B0D" w:rsidRDefault="00ED2CE2" w:rsidP="00ED2CE2">
      <w:pPr>
        <w:rPr>
          <w:rFonts w:eastAsia="Times New Roman"/>
          <w:color w:val="000000"/>
          <w:szCs w:val="24"/>
        </w:rPr>
      </w:pPr>
      <w:r w:rsidRPr="004C7B0D">
        <w:rPr>
          <w:rFonts w:eastAsia="Times New Roman"/>
          <w:szCs w:val="24"/>
          <w:u w:val="single"/>
        </w:rPr>
        <w:t>Statement of Interest</w:t>
      </w:r>
      <w:r w:rsidRPr="004C7B0D">
        <w:rPr>
          <w:rFonts w:eastAsia="Times New Roman"/>
          <w:szCs w:val="24"/>
        </w:rPr>
        <w:t xml:space="preserve">: </w:t>
      </w:r>
      <w:r>
        <w:rPr>
          <w:rFonts w:eastAsia="Times New Roman"/>
          <w:szCs w:val="24"/>
        </w:rPr>
        <w:t xml:space="preserve"> </w:t>
      </w:r>
      <w:r w:rsidRPr="004C7B0D">
        <w:rPr>
          <w:rFonts w:eastAsia="Times New Roman"/>
          <w:color w:val="000000"/>
          <w:szCs w:val="24"/>
        </w:rPr>
        <w:t>Relevant to membership of the GNSO Group.  A written statement made by a Relevant Party that provides a declaration of direct and indirect interests that may affect, or be perceived to affect, the Relevant Party's judgment, on any matters to be considered by the GNSO Group.</w:t>
      </w:r>
    </w:p>
    <w:p w:rsidR="00ED2CE2" w:rsidRPr="004C7B0D" w:rsidRDefault="00ED2CE2" w:rsidP="00ED2CE2">
      <w:pPr>
        <w:rPr>
          <w:rFonts w:eastAsia="Times New Roman"/>
          <w:szCs w:val="24"/>
          <w:u w:val="single"/>
        </w:rPr>
      </w:pPr>
    </w:p>
    <w:p w:rsidR="00ED2CE2" w:rsidRPr="004C7B0D" w:rsidRDefault="00ED2CE2" w:rsidP="00ED2CE2">
      <w:pPr>
        <w:rPr>
          <w:rFonts w:eastAsia="Times New Roman"/>
          <w:color w:val="000000"/>
          <w:szCs w:val="24"/>
        </w:rPr>
      </w:pPr>
      <w:r w:rsidRPr="004C7B0D">
        <w:rPr>
          <w:rFonts w:eastAsia="Times New Roman"/>
          <w:szCs w:val="24"/>
          <w:u w:val="single"/>
        </w:rPr>
        <w:t>Disclosure of Interest</w:t>
      </w:r>
      <w:r w:rsidRPr="004C7B0D">
        <w:rPr>
          <w:rFonts w:eastAsia="Times New Roman"/>
          <w:szCs w:val="24"/>
        </w:rPr>
        <w:t xml:space="preserve">: </w:t>
      </w:r>
      <w:r>
        <w:rPr>
          <w:rFonts w:eastAsia="Times New Roman"/>
          <w:szCs w:val="24"/>
        </w:rPr>
        <w:t xml:space="preserve"> </w:t>
      </w:r>
      <w:r w:rsidRPr="004C7B0D">
        <w:rPr>
          <w:rFonts w:eastAsia="Times New Roman"/>
          <w:color w:val="000000"/>
          <w:szCs w:val="24"/>
        </w:rPr>
        <w:t>Relevant to a specific issue at a specific time.  A statement made by a Relevant Party of direct and indirect interests that may be commercial (e.g. monetary payment) or non-commercial (e.g. non-tangible benefit such as publicity, political or academic visibility) and may affect, or be perceived to affect, the Relevant Party's judgment on a specific issue.</w:t>
      </w:r>
    </w:p>
    <w:p w:rsidR="00ED2CE2" w:rsidRPr="004C7B0D" w:rsidRDefault="00ED2CE2" w:rsidP="00ED2CE2">
      <w:pPr>
        <w:rPr>
          <w:rFonts w:eastAsia="Times New Roman"/>
          <w:color w:val="000000"/>
          <w:szCs w:val="24"/>
        </w:rPr>
      </w:pPr>
    </w:p>
    <w:p w:rsidR="00ED2CE2" w:rsidRPr="004C7B0D" w:rsidRDefault="00ED2CE2" w:rsidP="00ED2CE2">
      <w:pPr>
        <w:pStyle w:val="Heading2"/>
      </w:pPr>
      <w:bookmarkStart w:id="2" w:name="_Toc267927297"/>
      <w:r>
        <w:t>5.2</w:t>
      </w:r>
      <w:r>
        <w:tab/>
      </w:r>
      <w:r w:rsidRPr="004C7B0D">
        <w:t>Policy</w:t>
      </w:r>
      <w:bookmarkEnd w:id="2"/>
    </w:p>
    <w:p w:rsidR="00ED2CE2" w:rsidRPr="004C7B0D" w:rsidRDefault="00ED2CE2" w:rsidP="00ED2CE2">
      <w:pPr>
        <w:tabs>
          <w:tab w:val="left" w:pos="360"/>
        </w:tabs>
        <w:autoSpaceDE w:val="0"/>
        <w:autoSpaceDN w:val="0"/>
        <w:adjustRightInd w:val="0"/>
        <w:rPr>
          <w:rFonts w:eastAsia="Times New Roman"/>
          <w:szCs w:val="24"/>
        </w:rPr>
      </w:pPr>
    </w:p>
    <w:p w:rsidR="00ED2CE2" w:rsidRPr="004C7B0D" w:rsidRDefault="00ED2CE2" w:rsidP="00ED2CE2">
      <w:pPr>
        <w:pStyle w:val="Heading3"/>
      </w:pPr>
      <w:r>
        <w:t>5.2.1</w:t>
      </w:r>
      <w:r>
        <w:tab/>
      </w:r>
      <w:r w:rsidRPr="004C7B0D">
        <w:rPr>
          <w:u w:val="single"/>
        </w:rPr>
        <w:t>Purpose</w:t>
      </w:r>
    </w:p>
    <w:p w:rsidR="00ED2CE2" w:rsidRPr="004C7B0D" w:rsidRDefault="00ED2CE2" w:rsidP="00ED2CE2">
      <w:pPr>
        <w:rPr>
          <w:rFonts w:eastAsia="Times New Roman"/>
          <w:color w:val="000000"/>
          <w:szCs w:val="24"/>
        </w:rPr>
      </w:pPr>
    </w:p>
    <w:p w:rsidR="00ED2CE2" w:rsidRPr="004C7B0D" w:rsidRDefault="00ED2CE2" w:rsidP="00ED2CE2">
      <w:pPr>
        <w:rPr>
          <w:rFonts w:eastAsia="Times New Roman"/>
          <w:color w:val="000000"/>
          <w:szCs w:val="24"/>
        </w:rPr>
      </w:pPr>
      <w:r w:rsidRPr="004C7B0D">
        <w:rPr>
          <w:rFonts w:eastAsia="Times New Roman"/>
          <w:color w:val="000000"/>
          <w:szCs w:val="24"/>
        </w:rPr>
        <w:t xml:space="preserve">The purpose of this policy is to set forth responsibilities and procedures pertaining to the content, creation, timely update, accuracy, completeness, and compliance of Statements of Interest and Disclosures of Interest as defined in Paragraph 5.1.  </w:t>
      </w:r>
    </w:p>
    <w:p w:rsidR="00ED2CE2" w:rsidRPr="004C7B0D" w:rsidRDefault="00ED2CE2" w:rsidP="00ED2CE2">
      <w:pPr>
        <w:rPr>
          <w:rFonts w:eastAsia="Times New Roman"/>
          <w:b/>
          <w:bCs/>
          <w:color w:val="000000"/>
          <w:szCs w:val="24"/>
        </w:rPr>
      </w:pPr>
    </w:p>
    <w:p w:rsidR="00ED2CE2" w:rsidRPr="004C7B0D" w:rsidRDefault="00ED2CE2" w:rsidP="00ED2CE2">
      <w:pPr>
        <w:pStyle w:val="Heading3"/>
      </w:pPr>
      <w:r>
        <w:t>5.2.2</w:t>
      </w:r>
      <w:r>
        <w:tab/>
      </w:r>
      <w:r w:rsidRPr="00576258">
        <w:rPr>
          <w:u w:val="single"/>
        </w:rPr>
        <w:t>Compliance</w:t>
      </w:r>
    </w:p>
    <w:p w:rsidR="00ED2CE2" w:rsidRPr="004C7B0D" w:rsidDel="00C57536" w:rsidRDefault="00ED2CE2" w:rsidP="00ED2CE2">
      <w:pPr>
        <w:numPr>
          <w:ilvl w:val="0"/>
          <w:numId w:val="23"/>
        </w:numPr>
        <w:spacing w:before="120"/>
        <w:ind w:left="1080"/>
        <w:rPr>
          <w:rFonts w:eastAsia="Times New Roman"/>
          <w:color w:val="000000"/>
          <w:szCs w:val="24"/>
        </w:rPr>
      </w:pPr>
      <w:r w:rsidRPr="004C7B0D">
        <w:rPr>
          <w:rFonts w:eastAsia="Times New Roman"/>
          <w:color w:val="000000"/>
          <w:szCs w:val="24"/>
        </w:rPr>
        <w:t xml:space="preserve">Each Relevant Party is responsible for ensuring that he or she complies with this policy.  Failure to comply with these procedures is covered in Paragraph 5.6.  </w:t>
      </w:r>
    </w:p>
    <w:p w:rsidR="00ED2CE2" w:rsidRPr="002259FB" w:rsidDel="002259FB" w:rsidRDefault="00ED2CE2" w:rsidP="00ED2CE2">
      <w:pPr>
        <w:spacing w:before="120"/>
        <w:ind w:left="1080"/>
        <w:rPr>
          <w:rFonts w:eastAsia="Times New Roman"/>
          <w:color w:val="000000"/>
          <w:szCs w:val="24"/>
        </w:rPr>
      </w:pPr>
      <w:r w:rsidRPr="004C7B0D">
        <w:rPr>
          <w:rFonts w:eastAsia="Times New Roman"/>
          <w:color w:val="000000"/>
          <w:szCs w:val="24"/>
        </w:rPr>
        <w:t xml:space="preserve">This policy is administered by ICANN staff.  Administration includes </w:t>
      </w:r>
      <w:r w:rsidRPr="004C7B0D">
        <w:rPr>
          <w:rFonts w:eastAsia="Times New Roman"/>
          <w:color w:val="000000"/>
          <w:szCs w:val="12"/>
        </w:rPr>
        <w:t xml:space="preserve">informing new members of groups of the policies, posting all Statements of Interest and Disclosures </w:t>
      </w:r>
      <w:r w:rsidRPr="005261E7">
        <w:rPr>
          <w:rFonts w:eastAsia="Times New Roman"/>
          <w:color w:val="000000"/>
          <w:szCs w:val="12"/>
        </w:rPr>
        <w:t>of Interest, and following up on any requests from the Chairs of groups pertaining to this procedure.</w:t>
      </w:r>
    </w:p>
    <w:p w:rsidR="00ED2CE2" w:rsidRPr="002259FB" w:rsidRDefault="00ED2CE2" w:rsidP="00ED2CE2">
      <w:pPr>
        <w:spacing w:before="120"/>
        <w:rPr>
          <w:rFonts w:eastAsia="Times New Roman"/>
          <w:color w:val="000000"/>
          <w:szCs w:val="24"/>
        </w:rPr>
      </w:pPr>
    </w:p>
    <w:p w:rsidR="00ED2CE2" w:rsidRPr="002259FB" w:rsidRDefault="00ED2CE2" w:rsidP="00ED2CE2">
      <w:pPr>
        <w:rPr>
          <w:rFonts w:ascii="Consolas" w:eastAsia="Times" w:hAnsi="Consolas"/>
          <w:color w:val="000000"/>
          <w:szCs w:val="20"/>
        </w:rPr>
      </w:pPr>
      <w:r>
        <w:t>5.2.3</w:t>
      </w:r>
      <w:r w:rsidRPr="005261E7">
        <w:t xml:space="preserve">  Exemptions</w:t>
      </w:r>
      <w:r w:rsidRPr="005261E7">
        <w:br/>
      </w:r>
      <w:r w:rsidRPr="00C7042C">
        <w:t> </w:t>
      </w:r>
      <w:r w:rsidRPr="00C7042C">
        <w:br/>
      </w:r>
      <w:r w:rsidRPr="00C7042C">
        <w:rPr>
          <w:rFonts w:eastAsia="Times"/>
          <w:color w:val="000000"/>
          <w:szCs w:val="20"/>
        </w:rPr>
        <w:t xml:space="preserve">ICANN staff members are exempt from the individual responsibility of </w:t>
      </w:r>
      <w:r>
        <w:rPr>
          <w:rFonts w:eastAsia="Times"/>
          <w:color w:val="000000"/>
          <w:szCs w:val="20"/>
        </w:rPr>
        <w:t>completing a Statement of Interest</w:t>
      </w:r>
      <w:r w:rsidRPr="00C7042C">
        <w:rPr>
          <w:rFonts w:eastAsia="Times"/>
          <w:color w:val="000000"/>
          <w:szCs w:val="20"/>
        </w:rPr>
        <w:t xml:space="preserve"> </w:t>
      </w:r>
      <w:r>
        <w:rPr>
          <w:rFonts w:eastAsia="Times"/>
          <w:color w:val="000000"/>
          <w:szCs w:val="20"/>
        </w:rPr>
        <w:t>by virtue of ICANN posting a global Statement of Interest</w:t>
      </w:r>
      <w:r w:rsidRPr="00C7042C">
        <w:rPr>
          <w:rFonts w:eastAsia="Times"/>
          <w:color w:val="000000"/>
          <w:szCs w:val="20"/>
        </w:rPr>
        <w:t xml:space="preserve"> </w:t>
      </w:r>
      <w:r>
        <w:rPr>
          <w:rFonts w:eastAsia="Times"/>
          <w:color w:val="000000"/>
          <w:szCs w:val="20"/>
        </w:rPr>
        <w:t xml:space="preserve">confirming </w:t>
      </w:r>
      <w:r w:rsidRPr="00C7042C">
        <w:rPr>
          <w:rFonts w:eastAsia="Times"/>
          <w:color w:val="000000"/>
          <w:szCs w:val="20"/>
        </w:rPr>
        <w:t>that all employees and those who have an exclusive contract with ICANN are representing the interests of ICANN</w:t>
      </w:r>
      <w:r>
        <w:rPr>
          <w:rFonts w:eastAsia="Times"/>
          <w:color w:val="000000"/>
          <w:szCs w:val="20"/>
        </w:rPr>
        <w:t>,</w:t>
      </w:r>
      <w:r w:rsidRPr="00C7042C">
        <w:rPr>
          <w:rFonts w:eastAsia="Times"/>
          <w:color w:val="000000"/>
          <w:szCs w:val="20"/>
        </w:rPr>
        <w:t xml:space="preserve"> </w:t>
      </w:r>
      <w:r>
        <w:rPr>
          <w:rFonts w:eastAsia="Times"/>
          <w:color w:val="000000"/>
          <w:szCs w:val="20"/>
        </w:rPr>
        <w:t xml:space="preserve">and no others, </w:t>
      </w:r>
      <w:r w:rsidRPr="00C7042C">
        <w:rPr>
          <w:rFonts w:eastAsia="Times"/>
          <w:color w:val="000000"/>
          <w:szCs w:val="20"/>
        </w:rPr>
        <w:t xml:space="preserve">at all times.  Individual staff members </w:t>
      </w:r>
      <w:r>
        <w:rPr>
          <w:rFonts w:eastAsia="Times"/>
          <w:color w:val="000000"/>
          <w:szCs w:val="20"/>
        </w:rPr>
        <w:t>are nonetheless obligated</w:t>
      </w:r>
      <w:r w:rsidRPr="00C7042C">
        <w:rPr>
          <w:rFonts w:eastAsia="Times"/>
          <w:color w:val="000000"/>
          <w:szCs w:val="20"/>
        </w:rPr>
        <w:t xml:space="preserve"> </w:t>
      </w:r>
      <w:r>
        <w:rPr>
          <w:rFonts w:eastAsia="Times"/>
          <w:color w:val="000000"/>
          <w:szCs w:val="20"/>
        </w:rPr>
        <w:t xml:space="preserve">to </w:t>
      </w:r>
      <w:r w:rsidRPr="00C7042C">
        <w:rPr>
          <w:rFonts w:eastAsia="Times"/>
          <w:color w:val="000000"/>
          <w:szCs w:val="20"/>
        </w:rPr>
        <w:t>make</w:t>
      </w:r>
      <w:r>
        <w:rPr>
          <w:rFonts w:eastAsia="Times"/>
          <w:color w:val="000000"/>
          <w:szCs w:val="20"/>
        </w:rPr>
        <w:t xml:space="preserve"> a verbal Declarations of Interest (DOI) in the same manner as all other Relevant Parties as and when any </w:t>
      </w:r>
      <w:r w:rsidRPr="00C7042C">
        <w:rPr>
          <w:rFonts w:eastAsia="Times"/>
          <w:color w:val="000000"/>
          <w:szCs w:val="20"/>
        </w:rPr>
        <w:t>interests they may have as individual</w:t>
      </w:r>
      <w:r>
        <w:rPr>
          <w:rFonts w:eastAsia="Times"/>
          <w:color w:val="000000"/>
          <w:szCs w:val="20"/>
        </w:rPr>
        <w:t>s</w:t>
      </w:r>
      <w:r w:rsidRPr="00C7042C">
        <w:rPr>
          <w:rFonts w:eastAsia="Times"/>
          <w:color w:val="000000"/>
          <w:szCs w:val="20"/>
        </w:rPr>
        <w:t xml:space="preserve"> arise.</w:t>
      </w:r>
    </w:p>
    <w:p w:rsidR="00ED2CE2" w:rsidRPr="004C7B0D" w:rsidRDefault="00ED2CE2" w:rsidP="00ED2CE2">
      <w:pPr>
        <w:rPr>
          <w:rFonts w:eastAsia="Times New Roman"/>
          <w:b/>
          <w:bCs/>
          <w:color w:val="000000"/>
          <w:szCs w:val="24"/>
        </w:rPr>
      </w:pPr>
    </w:p>
    <w:p w:rsidR="00ED2CE2" w:rsidRPr="004C7B0D" w:rsidRDefault="00ED2CE2" w:rsidP="00ED2CE2">
      <w:pPr>
        <w:pStyle w:val="Heading2"/>
      </w:pPr>
      <w:bookmarkStart w:id="3" w:name="_Toc267927298"/>
      <w:r>
        <w:t>5.3</w:t>
      </w:r>
      <w:r>
        <w:tab/>
      </w:r>
      <w:r w:rsidRPr="004C7B0D">
        <w:t>Statement of Interest Procedures</w:t>
      </w:r>
      <w:bookmarkEnd w:id="3"/>
    </w:p>
    <w:p w:rsidR="00ED2CE2" w:rsidRPr="004C7B0D" w:rsidRDefault="00ED2CE2" w:rsidP="00ED2CE2">
      <w:pPr>
        <w:rPr>
          <w:rFonts w:eastAsia="Times New Roman"/>
          <w:color w:val="000000"/>
          <w:szCs w:val="24"/>
        </w:rPr>
      </w:pPr>
    </w:p>
    <w:p w:rsidR="00ED2CE2" w:rsidRPr="004C7B0D" w:rsidRDefault="00ED2CE2" w:rsidP="00ED2CE2">
      <w:pPr>
        <w:pStyle w:val="Heading3"/>
      </w:pPr>
      <w:r>
        <w:t>5.3.1</w:t>
      </w:r>
      <w:r>
        <w:tab/>
      </w:r>
      <w:r w:rsidRPr="00576258">
        <w:rPr>
          <w:u w:val="single"/>
        </w:rPr>
        <w:t>Timeliness</w:t>
      </w:r>
    </w:p>
    <w:p w:rsidR="00ED2CE2" w:rsidRPr="004C7B0D" w:rsidRDefault="00ED2CE2" w:rsidP="00ED2CE2">
      <w:pPr>
        <w:ind w:left="630" w:hanging="630"/>
        <w:rPr>
          <w:rFonts w:eastAsia="Times New Roman"/>
          <w:color w:val="000000"/>
          <w:szCs w:val="24"/>
        </w:rPr>
      </w:pPr>
    </w:p>
    <w:p w:rsidR="00ED2CE2" w:rsidRPr="004C7B0D" w:rsidRDefault="00ED2CE2" w:rsidP="00ED2CE2">
      <w:pPr>
        <w:rPr>
          <w:rFonts w:eastAsia="Times New Roman"/>
          <w:color w:val="000000"/>
          <w:szCs w:val="24"/>
        </w:rPr>
      </w:pPr>
      <w:r w:rsidRPr="004C7B0D">
        <w:rPr>
          <w:rFonts w:eastAsia="Times New Roman"/>
          <w:color w:val="000000"/>
          <w:szCs w:val="24"/>
        </w:rPr>
        <w:t>Relevant Parties are required to provide to the GNSO Secretariat a Statement of Interest, updated not less frequently than once a year or whenever there is a material change, setting forth those specified interests, relationships, arrangements, and affiliations that may affect or be perceived to affect judgments of Relevant Parties in the conduct of their participation within the GNSO. A completed Statement of Interest, updated at least annually, is a precondition for Relevant</w:t>
      </w:r>
    </w:p>
    <w:p w:rsidR="00ED2CE2" w:rsidRPr="004C7B0D" w:rsidRDefault="00ED2CE2" w:rsidP="00ED2CE2">
      <w:pPr>
        <w:rPr>
          <w:rFonts w:eastAsia="Times New Roman"/>
          <w:color w:val="000000"/>
          <w:szCs w:val="24"/>
        </w:rPr>
      </w:pPr>
      <w:r w:rsidRPr="004C7B0D">
        <w:rPr>
          <w:rFonts w:eastAsia="Times New Roman"/>
          <w:color w:val="000000"/>
          <w:szCs w:val="24"/>
        </w:rPr>
        <w:t xml:space="preserve">Parties to participate in a GNSO group.  </w:t>
      </w:r>
    </w:p>
    <w:p w:rsidR="00ED2CE2" w:rsidRPr="004C7B0D" w:rsidRDefault="00ED2CE2" w:rsidP="00ED2CE2">
      <w:pPr>
        <w:ind w:left="630" w:hanging="630"/>
        <w:rPr>
          <w:rFonts w:eastAsia="Times New Roman"/>
          <w:color w:val="000000"/>
          <w:szCs w:val="24"/>
        </w:rPr>
      </w:pPr>
    </w:p>
    <w:p w:rsidR="00ED2CE2" w:rsidRPr="004C7B0D" w:rsidRDefault="00ED2CE2" w:rsidP="00ED2CE2">
      <w:pPr>
        <w:pStyle w:val="Heading3"/>
      </w:pPr>
      <w:r>
        <w:t>5.3.2</w:t>
      </w:r>
      <w:r>
        <w:tab/>
      </w:r>
      <w:r w:rsidRPr="00576258">
        <w:rPr>
          <w:u w:val="single"/>
        </w:rPr>
        <w:t>Electronic Form and Publication</w:t>
      </w:r>
      <w:r w:rsidRPr="004C7B0D">
        <w:rPr>
          <w:vertAlign w:val="superscript"/>
        </w:rPr>
        <w:footnoteReference w:id="1"/>
      </w:r>
    </w:p>
    <w:p w:rsidR="00ED2CE2" w:rsidRPr="004C7B0D" w:rsidRDefault="00ED2CE2" w:rsidP="00ED2CE2">
      <w:pPr>
        <w:ind w:left="630" w:hanging="630"/>
        <w:rPr>
          <w:rFonts w:eastAsia="Times New Roman"/>
          <w:color w:val="000000"/>
          <w:szCs w:val="24"/>
        </w:rPr>
      </w:pPr>
    </w:p>
    <w:p w:rsidR="00ED2CE2" w:rsidRPr="004C7B0D" w:rsidRDefault="00ED2CE2" w:rsidP="00ED2CE2">
      <w:pPr>
        <w:rPr>
          <w:rFonts w:eastAsia="Times New Roman"/>
          <w:color w:val="000000"/>
          <w:szCs w:val="24"/>
        </w:rPr>
      </w:pPr>
      <w:r w:rsidRPr="004C7B0D">
        <w:rPr>
          <w:rFonts w:eastAsia="Times New Roman"/>
          <w:color w:val="000000"/>
          <w:szCs w:val="24"/>
        </w:rPr>
        <w:t xml:space="preserve">To ensure consistency, ICANN Staff shall develop, maintain, and provide to Relevant Parties an electronic Statement of Interest form including procedures and instructions pertaining to its completion online.  ICANN Staff shall make available an alternative arrangement (e.g. email) in the event that a Relevant Party does not have the necessary Internet access or capability to complete the form online.  ICANN Staff shall post the completed Statements of Interest in the relevant section of the ICANN web site prior to Relevant Parties undertaking any activity and at least annually in the case of GNSO Councilors.  </w:t>
      </w:r>
    </w:p>
    <w:p w:rsidR="00ED2CE2" w:rsidRPr="004C7B0D" w:rsidRDefault="00ED2CE2" w:rsidP="00ED2CE2">
      <w:pPr>
        <w:ind w:left="630" w:hanging="630"/>
        <w:rPr>
          <w:rFonts w:eastAsia="Times New Roman"/>
          <w:color w:val="000000"/>
          <w:szCs w:val="24"/>
        </w:rPr>
      </w:pPr>
    </w:p>
    <w:p w:rsidR="00ED2CE2" w:rsidRPr="004C7B0D" w:rsidRDefault="00ED2CE2" w:rsidP="00ED2CE2">
      <w:pPr>
        <w:pStyle w:val="Heading3"/>
      </w:pPr>
      <w:r>
        <w:t>5.3.3</w:t>
      </w:r>
      <w:r>
        <w:tab/>
      </w:r>
      <w:r w:rsidRPr="004C7B0D">
        <w:rPr>
          <w:u w:val="single"/>
        </w:rPr>
        <w:t>Content</w:t>
      </w:r>
      <w:r>
        <w:rPr>
          <w:u w:val="single"/>
          <w:vertAlign w:val="superscript"/>
        </w:rPr>
        <w:t>3</w:t>
      </w:r>
    </w:p>
    <w:p w:rsidR="00ED2CE2" w:rsidRPr="004C7B0D" w:rsidRDefault="00ED2CE2" w:rsidP="00ED2CE2">
      <w:pPr>
        <w:spacing w:before="120"/>
        <w:rPr>
          <w:rFonts w:eastAsia="Times New Roman"/>
          <w:color w:val="000000"/>
          <w:szCs w:val="24"/>
        </w:rPr>
      </w:pPr>
      <w:r w:rsidRPr="004C7B0D">
        <w:rPr>
          <w:rFonts w:eastAsia="Times New Roman"/>
          <w:color w:val="000000"/>
          <w:szCs w:val="24"/>
        </w:rPr>
        <w:t>Relevant Parties shall complete all five sections of the Statement of Interest form as specified below:</w:t>
      </w:r>
    </w:p>
    <w:p w:rsidR="00ED2CE2" w:rsidRPr="004C7B0D" w:rsidRDefault="00ED2CE2" w:rsidP="00ED2CE2">
      <w:pPr>
        <w:numPr>
          <w:ilvl w:val="0"/>
          <w:numId w:val="12"/>
        </w:numPr>
        <w:tabs>
          <w:tab w:val="left" w:pos="360"/>
        </w:tabs>
        <w:autoSpaceDE w:val="0"/>
        <w:autoSpaceDN w:val="0"/>
        <w:adjustRightInd w:val="0"/>
        <w:spacing w:before="120"/>
        <w:ind w:left="450" w:hanging="446"/>
        <w:rPr>
          <w:rFonts w:eastAsia="Times New Roman"/>
          <w:szCs w:val="24"/>
        </w:rPr>
      </w:pPr>
      <w:r w:rsidRPr="004C7B0D">
        <w:rPr>
          <w:rFonts w:eastAsia="Times New Roman"/>
          <w:szCs w:val="24"/>
        </w:rPr>
        <w:t>Please identify your current employer(s) and position(s).</w:t>
      </w:r>
    </w:p>
    <w:p w:rsidR="00ED2CE2" w:rsidRPr="004C7B0D" w:rsidRDefault="00ED2CE2" w:rsidP="00ED2CE2">
      <w:pPr>
        <w:numPr>
          <w:ilvl w:val="0"/>
          <w:numId w:val="12"/>
        </w:numPr>
        <w:tabs>
          <w:tab w:val="left" w:pos="360"/>
        </w:tabs>
        <w:autoSpaceDE w:val="0"/>
        <w:autoSpaceDN w:val="0"/>
        <w:adjustRightInd w:val="0"/>
        <w:spacing w:before="120"/>
        <w:ind w:left="450" w:hanging="446"/>
        <w:rPr>
          <w:rFonts w:eastAsia="Times New Roman"/>
          <w:szCs w:val="24"/>
        </w:rPr>
      </w:pPr>
      <w:r w:rsidRPr="004C7B0D">
        <w:rPr>
          <w:rFonts w:eastAsia="Times New Roman"/>
          <w:szCs w:val="24"/>
        </w:rPr>
        <w:t>Please identify your declared country of residence, which may be the country to which you pay taxes.</w:t>
      </w:r>
    </w:p>
    <w:p w:rsidR="00ED2CE2" w:rsidRPr="004C7B0D" w:rsidRDefault="00ED2CE2" w:rsidP="00ED2CE2">
      <w:pPr>
        <w:numPr>
          <w:ilvl w:val="0"/>
          <w:numId w:val="12"/>
        </w:numPr>
        <w:tabs>
          <w:tab w:val="left" w:pos="360"/>
        </w:tabs>
        <w:autoSpaceDE w:val="0"/>
        <w:autoSpaceDN w:val="0"/>
        <w:adjustRightInd w:val="0"/>
        <w:spacing w:before="120"/>
        <w:ind w:left="450" w:hanging="446"/>
        <w:rPr>
          <w:rFonts w:eastAsia="Times New Roman"/>
          <w:szCs w:val="24"/>
        </w:rPr>
      </w:pPr>
      <w:r w:rsidRPr="004C7B0D">
        <w:rPr>
          <w:rFonts w:eastAsia="Times New Roman"/>
          <w:szCs w:val="24"/>
        </w:rPr>
        <w:t>Please identify the type(s) of work performed at #1 above.</w:t>
      </w:r>
    </w:p>
    <w:p w:rsidR="00ED2CE2" w:rsidRPr="0058100A" w:rsidRDefault="00ED2CE2" w:rsidP="00ED2CE2">
      <w:pPr>
        <w:pStyle w:val="Default"/>
        <w:numPr>
          <w:ilvl w:val="0"/>
          <w:numId w:val="12"/>
        </w:numPr>
        <w:tabs>
          <w:tab w:val="clear" w:pos="420"/>
          <w:tab w:val="num" w:pos="360"/>
        </w:tabs>
        <w:spacing w:before="120"/>
        <w:ind w:left="360"/>
        <w:rPr>
          <w:szCs w:val="23"/>
        </w:rPr>
      </w:pPr>
      <w:r w:rsidRPr="0058100A">
        <w:rPr>
          <w:szCs w:val="23"/>
        </w:rPr>
        <w:t xml:space="preserve">Please list any financial relationship beyond </w:t>
      </w:r>
      <w:r w:rsidRPr="0058100A">
        <w:rPr>
          <w:i/>
          <w:szCs w:val="23"/>
        </w:rPr>
        <w:t>de minimus</w:t>
      </w:r>
      <w:r w:rsidRPr="0058100A">
        <w:rPr>
          <w:szCs w:val="23"/>
        </w:rPr>
        <w:t xml:space="preserve"> stock ownership you may have, or may be actively negotiating a transaction or contract, with any company that has a financial relationship or contract with ICANN. </w:t>
      </w:r>
    </w:p>
    <w:p w:rsidR="00ED2CE2" w:rsidRPr="004C7B0D" w:rsidRDefault="00ED2CE2" w:rsidP="00ED2CE2">
      <w:pPr>
        <w:numPr>
          <w:ilvl w:val="0"/>
          <w:numId w:val="12"/>
        </w:numPr>
        <w:tabs>
          <w:tab w:val="left" w:pos="360"/>
        </w:tabs>
        <w:autoSpaceDE w:val="0"/>
        <w:autoSpaceDN w:val="0"/>
        <w:adjustRightInd w:val="0"/>
        <w:spacing w:before="120"/>
        <w:ind w:left="360" w:hanging="356"/>
        <w:rPr>
          <w:rFonts w:eastAsia="Times New Roman"/>
          <w:szCs w:val="24"/>
        </w:rPr>
      </w:pPr>
      <w:r w:rsidRPr="004C7B0D">
        <w:rPr>
          <w:rFonts w:eastAsia="Times New Roman"/>
          <w:szCs w:val="24"/>
        </w:rPr>
        <w:lastRenderedPageBreak/>
        <w:t xml:space="preserve">Are you participating in the GNSO policy process as a representative of any individual or entity, whether paid or unpaid?  Please answer “yes” or “no.”  If the answer is “yes,” please provide the name of the represented individual or entity.  </w:t>
      </w:r>
    </w:p>
    <w:p w:rsidR="00ED2CE2" w:rsidRPr="004C7B0D" w:rsidRDefault="00ED2CE2" w:rsidP="00ED2CE2">
      <w:pPr>
        <w:numPr>
          <w:ilvl w:val="0"/>
          <w:numId w:val="12"/>
        </w:numPr>
        <w:tabs>
          <w:tab w:val="left" w:pos="360"/>
        </w:tabs>
        <w:autoSpaceDE w:val="0"/>
        <w:autoSpaceDN w:val="0"/>
        <w:adjustRightInd w:val="0"/>
        <w:spacing w:before="120"/>
        <w:ind w:left="360" w:hanging="356"/>
        <w:rPr>
          <w:rFonts w:eastAsia="Times New Roman"/>
          <w:szCs w:val="24"/>
        </w:rPr>
      </w:pPr>
      <w:r w:rsidRPr="004C7B0D">
        <w:rPr>
          <w:rFonts w:eastAsia="Times New Roman"/>
          <w:szCs w:val="24"/>
        </w:rPr>
        <w:t xml:space="preserve">Please identify any other relevant arrangements, interests, or benefits as requested in the following </w:t>
      </w:r>
      <w:r>
        <w:rPr>
          <w:rFonts w:eastAsia="Times New Roman"/>
          <w:szCs w:val="24"/>
        </w:rPr>
        <w:t>two</w:t>
      </w:r>
      <w:r w:rsidRPr="004C7B0D">
        <w:rPr>
          <w:rFonts w:eastAsia="Times New Roman"/>
          <w:szCs w:val="24"/>
        </w:rPr>
        <w:t xml:space="preserve"> questions:  </w:t>
      </w:r>
    </w:p>
    <w:p w:rsidR="00ED2CE2" w:rsidRDefault="00ED2CE2" w:rsidP="00ED2CE2">
      <w:pPr>
        <w:numPr>
          <w:ilvl w:val="0"/>
          <w:numId w:val="14"/>
        </w:numPr>
        <w:tabs>
          <w:tab w:val="left" w:pos="990"/>
        </w:tabs>
        <w:autoSpaceDE w:val="0"/>
        <w:autoSpaceDN w:val="0"/>
        <w:adjustRightInd w:val="0"/>
        <w:spacing w:before="120"/>
        <w:ind w:left="990" w:hanging="270"/>
        <w:rPr>
          <w:rFonts w:eastAsia="Times New Roman"/>
          <w:szCs w:val="24"/>
        </w:rPr>
      </w:pPr>
      <w:r w:rsidRPr="004C7B0D">
        <w:rPr>
          <w:rFonts w:eastAsia="Times New Roman"/>
          <w:szCs w:val="24"/>
        </w:rPr>
        <w:t xml:space="preserve">Do you have any type of commercial or non-commercial interest in ICANN GNSO policy development processes and outcomes?  Please answer “yes” or “no.”  If the answer is “yes,” please describe the commercial or non-commercial interest in ICANN GNSO policy development processes and outcomes. </w:t>
      </w:r>
    </w:p>
    <w:p w:rsidR="00ED2CE2" w:rsidRPr="004C7B0D" w:rsidRDefault="00ED2CE2" w:rsidP="00ED2CE2">
      <w:pPr>
        <w:numPr>
          <w:ilvl w:val="0"/>
          <w:numId w:val="14"/>
        </w:numPr>
        <w:tabs>
          <w:tab w:val="left" w:pos="990"/>
        </w:tabs>
        <w:autoSpaceDE w:val="0"/>
        <w:autoSpaceDN w:val="0"/>
        <w:adjustRightInd w:val="0"/>
        <w:spacing w:before="120"/>
        <w:ind w:left="990" w:hanging="270"/>
        <w:rPr>
          <w:rFonts w:eastAsia="Times New Roman"/>
          <w:szCs w:val="24"/>
        </w:rPr>
      </w:pPr>
      <w:r w:rsidRPr="004C7B0D">
        <w:rPr>
          <w:rFonts w:eastAsia="Times New Roman"/>
          <w:szCs w:val="24"/>
        </w:rPr>
        <w:t>Are there any arrangements/agreements between you and any other group, constituency or person(s) regarding your participation as a work team member?  Please answer “yes” or “no.”  If the answer is “yes,” please describe the arrangements/agreements and the name of the group, constituency, or person(s).</w:t>
      </w:r>
    </w:p>
    <w:p w:rsidR="00ED2CE2" w:rsidRDefault="00ED2CE2" w:rsidP="00ED2CE2">
      <w:pPr>
        <w:pStyle w:val="Heading3"/>
      </w:pPr>
    </w:p>
    <w:p w:rsidR="00ED2CE2" w:rsidRPr="004C7B0D" w:rsidRDefault="00ED2CE2" w:rsidP="00ED2CE2">
      <w:pPr>
        <w:pStyle w:val="Heading3"/>
      </w:pPr>
      <w:r>
        <w:t>5.3.4</w:t>
      </w:r>
      <w:r>
        <w:tab/>
      </w:r>
      <w:r w:rsidRPr="00576258">
        <w:rPr>
          <w:u w:val="single"/>
        </w:rPr>
        <w:t>Timing of Updates and Recordation</w:t>
      </w:r>
    </w:p>
    <w:p w:rsidR="00ED2CE2" w:rsidRPr="004C7B0D" w:rsidRDefault="00ED2CE2" w:rsidP="00ED2CE2">
      <w:pPr>
        <w:rPr>
          <w:rFonts w:eastAsia="Times New Roman"/>
          <w:szCs w:val="24"/>
        </w:rPr>
      </w:pPr>
    </w:p>
    <w:p w:rsidR="00ED2CE2" w:rsidRPr="004C7B0D" w:rsidRDefault="00ED2CE2" w:rsidP="00ED2CE2">
      <w:pPr>
        <w:rPr>
          <w:rFonts w:eastAsia="Times New Roman"/>
          <w:color w:val="000000"/>
          <w:szCs w:val="24"/>
        </w:rPr>
      </w:pPr>
      <w:r w:rsidRPr="004C7B0D">
        <w:rPr>
          <w:rFonts w:eastAsia="Times New Roman"/>
          <w:szCs w:val="24"/>
        </w:rPr>
        <w:t xml:space="preserve">A Relevant Party shall provide any changes/and or updates to his or her Statement of Interest within ten business days.  </w:t>
      </w:r>
      <w:r w:rsidRPr="004C7B0D">
        <w:rPr>
          <w:rFonts w:eastAsia="Times New Roman"/>
          <w:color w:val="000000"/>
          <w:szCs w:val="24"/>
        </w:rPr>
        <w:t xml:space="preserve">Such changes shall also be recorded in the minutes of the meeting at which the Relevant Party advises of such </w:t>
      </w:r>
      <w:r w:rsidRPr="004C7B0D">
        <w:rPr>
          <w:rFonts w:eastAsia="Times New Roman"/>
          <w:szCs w:val="24"/>
        </w:rPr>
        <w:t>change and should be posted as soon as possible.</w:t>
      </w:r>
    </w:p>
    <w:p w:rsidR="00ED2CE2" w:rsidRPr="004C7B0D" w:rsidRDefault="00ED2CE2" w:rsidP="00ED2CE2">
      <w:pPr>
        <w:rPr>
          <w:rFonts w:eastAsia="Times New Roman"/>
          <w:szCs w:val="24"/>
        </w:rPr>
      </w:pPr>
    </w:p>
    <w:p w:rsidR="00ED2CE2" w:rsidRPr="004C7B0D" w:rsidRDefault="00ED2CE2" w:rsidP="00ED2CE2">
      <w:pPr>
        <w:pStyle w:val="Heading2"/>
        <w:rPr>
          <w:color w:val="000000"/>
        </w:rPr>
      </w:pPr>
      <w:bookmarkStart w:id="4" w:name="_Toc267927299"/>
      <w:r>
        <w:t>5.4</w:t>
      </w:r>
      <w:r>
        <w:tab/>
      </w:r>
      <w:r w:rsidRPr="004C7B0D">
        <w:t>Disclosure of Interest Procedures</w:t>
      </w:r>
      <w:bookmarkEnd w:id="4"/>
    </w:p>
    <w:p w:rsidR="00ED2CE2" w:rsidRDefault="00ED2CE2" w:rsidP="00ED2CE2">
      <w:pPr>
        <w:pStyle w:val="Heading3"/>
      </w:pPr>
    </w:p>
    <w:p w:rsidR="00ED2CE2" w:rsidRPr="004C7B0D" w:rsidRDefault="00ED2CE2" w:rsidP="00ED2CE2">
      <w:pPr>
        <w:pStyle w:val="Heading3"/>
      </w:pPr>
      <w:r>
        <w:t>5.4.1</w:t>
      </w:r>
      <w:r>
        <w:tab/>
      </w:r>
      <w:r w:rsidRPr="00576258">
        <w:rPr>
          <w:u w:val="single"/>
        </w:rPr>
        <w:t>Applicability</w:t>
      </w:r>
    </w:p>
    <w:p w:rsidR="00ED2CE2" w:rsidRPr="004C7B0D" w:rsidRDefault="00ED2CE2" w:rsidP="00ED2CE2">
      <w:pPr>
        <w:spacing w:before="120"/>
        <w:ind w:hanging="4"/>
        <w:rPr>
          <w:rFonts w:eastAsia="Times New Roman"/>
          <w:color w:val="1F497D"/>
          <w:szCs w:val="24"/>
        </w:rPr>
      </w:pPr>
      <w:r w:rsidRPr="004C7B0D">
        <w:rPr>
          <w:rFonts w:eastAsia="Times New Roman"/>
          <w:color w:val="000000"/>
          <w:szCs w:val="24"/>
        </w:rPr>
        <w:t>A Relevant Party shall provide a Disclosure of Interest setting forth any direct or indirect interests that may affect a Relevant Party’s judgment</w:t>
      </w:r>
      <w:r w:rsidRPr="004C7B0D">
        <w:rPr>
          <w:rFonts w:eastAsia="Times New Roman"/>
          <w:szCs w:val="24"/>
        </w:rPr>
        <w:t xml:space="preserve"> on an issue that is under review, consideration, or discussion.</w:t>
      </w:r>
    </w:p>
    <w:p w:rsidR="00ED2CE2" w:rsidRDefault="00ED2CE2" w:rsidP="00ED2CE2">
      <w:pPr>
        <w:pStyle w:val="Heading3"/>
      </w:pPr>
    </w:p>
    <w:p w:rsidR="00ED2CE2" w:rsidRPr="004C7B0D" w:rsidRDefault="00ED2CE2" w:rsidP="00ED2CE2">
      <w:pPr>
        <w:pStyle w:val="Heading3"/>
      </w:pPr>
      <w:r>
        <w:t>5.4.2</w:t>
      </w:r>
      <w:r>
        <w:tab/>
      </w:r>
      <w:r w:rsidRPr="00576258">
        <w:rPr>
          <w:u w:val="single"/>
        </w:rPr>
        <w:t>Duty to Remind Participants and Speakers</w:t>
      </w:r>
    </w:p>
    <w:p w:rsidR="00ED2CE2" w:rsidRPr="004C7B0D" w:rsidRDefault="00ED2CE2" w:rsidP="00ED2CE2">
      <w:pPr>
        <w:numPr>
          <w:ilvl w:val="1"/>
          <w:numId w:val="24"/>
        </w:numPr>
        <w:spacing w:before="120"/>
        <w:ind w:left="1080"/>
        <w:rPr>
          <w:rFonts w:eastAsia="Times New Roman"/>
          <w:color w:val="000000"/>
          <w:szCs w:val="24"/>
        </w:rPr>
      </w:pPr>
      <w:r w:rsidRPr="004C7B0D">
        <w:rPr>
          <w:rFonts w:eastAsia="Times New Roman"/>
          <w:color w:val="000000"/>
          <w:szCs w:val="24"/>
        </w:rPr>
        <w:t xml:space="preserve">The GNSO Council Chair or Vice-Chairs, Working Group Chair, Work Team Chair, Committee Chair, or Chair of any other organization formed by the GNSO shall remind all participants to provide Disclosures of Interest and updates to Disclosures of Interest at the beginning of each meeting during which the Relevant Parties will discuss or act upon the specific matter(s) to which the disclosure pertains and such disclosures shall be recorded in the minutes of that meeting. </w:t>
      </w:r>
      <w:r>
        <w:rPr>
          <w:rFonts w:eastAsia="Times New Roman"/>
          <w:color w:val="000000"/>
          <w:szCs w:val="24"/>
        </w:rPr>
        <w:t xml:space="preserve"> </w:t>
      </w:r>
      <w:r w:rsidRPr="004C7B0D">
        <w:rPr>
          <w:rFonts w:eastAsia="Times New Roman"/>
          <w:color w:val="000000"/>
          <w:szCs w:val="24"/>
        </w:rPr>
        <w:t xml:space="preserve">At that time, anyone who has a question about the interpretation or meaning of a Relevant Party’s Disclosure of Interest may petition the Chair to request clarification from the Relevant Party.  Concerns related to the accuracy and/or completeness of a Disclosure of Interest are addressed in Paragraph 5.5.  </w:t>
      </w:r>
    </w:p>
    <w:p w:rsidR="00ED2CE2" w:rsidRPr="004C7B0D" w:rsidRDefault="00ED2CE2" w:rsidP="00ED2CE2">
      <w:pPr>
        <w:numPr>
          <w:ilvl w:val="1"/>
          <w:numId w:val="24"/>
        </w:numPr>
        <w:spacing w:before="120"/>
        <w:ind w:left="1080"/>
        <w:rPr>
          <w:rFonts w:eastAsia="Times New Roman"/>
          <w:color w:val="000000"/>
          <w:szCs w:val="24"/>
        </w:rPr>
      </w:pPr>
      <w:r w:rsidRPr="004C7B0D">
        <w:rPr>
          <w:rFonts w:eastAsia="Times New Roman"/>
          <w:color w:val="000000"/>
          <w:szCs w:val="24"/>
        </w:rPr>
        <w:t xml:space="preserve">At the beginning of any ICANN public meeting, forum, or discussion being coordinated and/or moderated by the GNSO, the person acting as Chair or coordinator of the public meeting, forum, or discussion shall encourage all speakers to provide Disclosures of Interest prior to beginning their remarks.  </w:t>
      </w:r>
    </w:p>
    <w:p w:rsidR="00ED2CE2" w:rsidRPr="004C7B0D" w:rsidRDefault="00ED2CE2" w:rsidP="00ED2CE2">
      <w:pPr>
        <w:rPr>
          <w:rFonts w:eastAsia="Times New Roman"/>
          <w:bCs/>
          <w:color w:val="000000"/>
          <w:szCs w:val="24"/>
        </w:rPr>
      </w:pPr>
    </w:p>
    <w:p w:rsidR="00ED2CE2" w:rsidRPr="004C7B0D" w:rsidRDefault="00ED2CE2" w:rsidP="00ED2CE2">
      <w:pPr>
        <w:pStyle w:val="Heading2"/>
      </w:pPr>
      <w:bookmarkStart w:id="5" w:name="_Toc267927300"/>
      <w:r w:rsidRPr="004C7B0D">
        <w:t>5.5</w:t>
      </w:r>
      <w:r>
        <w:tab/>
      </w:r>
      <w:r w:rsidRPr="004C7B0D">
        <w:t>Completeness and Accuracy</w:t>
      </w:r>
      <w:bookmarkEnd w:id="5"/>
    </w:p>
    <w:p w:rsidR="00ED2CE2" w:rsidRPr="004C7B0D" w:rsidRDefault="00ED2CE2" w:rsidP="00ED2CE2">
      <w:pPr>
        <w:rPr>
          <w:rFonts w:eastAsia="Times New Roman"/>
          <w:color w:val="000000"/>
          <w:szCs w:val="24"/>
        </w:rPr>
      </w:pPr>
    </w:p>
    <w:p w:rsidR="00ED2CE2" w:rsidRPr="004C7B0D" w:rsidRDefault="00ED2CE2" w:rsidP="00ED2CE2">
      <w:pPr>
        <w:pStyle w:val="Heading3"/>
      </w:pPr>
      <w:r>
        <w:t>5.5.1</w:t>
      </w:r>
      <w:r>
        <w:tab/>
      </w:r>
      <w:r w:rsidRPr="00576258">
        <w:rPr>
          <w:u w:val="single"/>
        </w:rPr>
        <w:t>Completeness</w:t>
      </w:r>
    </w:p>
    <w:p w:rsidR="00ED2CE2" w:rsidRPr="004C7B0D" w:rsidRDefault="00ED2CE2" w:rsidP="00ED2CE2">
      <w:pPr>
        <w:rPr>
          <w:rFonts w:eastAsia="Times New Roman"/>
          <w:color w:val="000000"/>
          <w:szCs w:val="24"/>
        </w:rPr>
      </w:pPr>
    </w:p>
    <w:p w:rsidR="00ED2CE2" w:rsidRPr="004C7B0D" w:rsidRDefault="00ED2CE2" w:rsidP="00ED2CE2">
      <w:pPr>
        <w:rPr>
          <w:rFonts w:eastAsia="Times New Roman"/>
          <w:color w:val="000000"/>
          <w:szCs w:val="24"/>
        </w:rPr>
      </w:pPr>
      <w:r w:rsidRPr="004C7B0D">
        <w:rPr>
          <w:rFonts w:eastAsia="Times New Roman"/>
          <w:color w:val="000000"/>
          <w:szCs w:val="24"/>
        </w:rPr>
        <w:t>ICANN Staff shall review each Relevant Party’s Statement of Interest and Disclosure of Interest to ensure completeness.  If ICANN Staff has reason to believe that a Relevant Party’s documentation is not complete, ICANN Staff shall notify the Relevant Party and request that the omitted or missing information be provided or, if there are extenuating circumstances, explanation as to why the document is incomplete.  If the matter cannot be satisfactorily resolved with the Relevant Party after a reasonable period, Staff shall raise the matter with the applicable Chair pursuant to 5.5.3.</w:t>
      </w:r>
      <w:r w:rsidRPr="004C7B0D">
        <w:rPr>
          <w:rFonts w:eastAsia="Times New Roman"/>
          <w:szCs w:val="24"/>
        </w:rPr>
        <w:t xml:space="preserve">  </w:t>
      </w:r>
    </w:p>
    <w:p w:rsidR="00ED2CE2" w:rsidRPr="004C7B0D" w:rsidRDefault="00ED2CE2" w:rsidP="00ED2CE2">
      <w:pPr>
        <w:rPr>
          <w:rFonts w:eastAsia="Times New Roman"/>
          <w:color w:val="000000"/>
          <w:szCs w:val="24"/>
        </w:rPr>
      </w:pPr>
    </w:p>
    <w:p w:rsidR="00ED2CE2" w:rsidRPr="004C7B0D" w:rsidRDefault="00ED2CE2" w:rsidP="00ED2CE2">
      <w:pPr>
        <w:pStyle w:val="Heading3"/>
      </w:pPr>
      <w:r>
        <w:t>5.5.2</w:t>
      </w:r>
      <w:r>
        <w:tab/>
      </w:r>
      <w:r w:rsidRPr="004C7B0D">
        <w:rPr>
          <w:u w:val="single"/>
        </w:rPr>
        <w:t>Accuracy</w:t>
      </w:r>
    </w:p>
    <w:p w:rsidR="00ED2CE2" w:rsidRPr="004C7B0D" w:rsidRDefault="00ED2CE2" w:rsidP="00ED2CE2">
      <w:pPr>
        <w:rPr>
          <w:rFonts w:eastAsia="Times New Roman"/>
          <w:color w:val="000000"/>
          <w:szCs w:val="24"/>
        </w:rPr>
      </w:pPr>
    </w:p>
    <w:p w:rsidR="00ED2CE2" w:rsidRPr="004C7B0D" w:rsidRDefault="00ED2CE2" w:rsidP="00ED2CE2">
      <w:pPr>
        <w:rPr>
          <w:rFonts w:eastAsia="Times New Roman"/>
          <w:color w:val="000000"/>
          <w:szCs w:val="24"/>
        </w:rPr>
      </w:pPr>
      <w:r w:rsidRPr="004C7B0D">
        <w:rPr>
          <w:rFonts w:eastAsia="Times New Roman"/>
          <w:color w:val="000000"/>
          <w:szCs w:val="24"/>
        </w:rPr>
        <w:t xml:space="preserve">Concerns raised by ICANN Staff or a member of the ICANN community about the accuracy of a Relevant Party’s Statement of Interest or Disclosure of Interest, including whether a direct or indirect interest that may affect the Relevant Party’s judgment with respect to a pending matter has been disclosed, shall be brought to the attention of the applicable Chair and handled pursuant to 5.5.3.  </w:t>
      </w:r>
    </w:p>
    <w:p w:rsidR="00ED2CE2" w:rsidRPr="004C7B0D" w:rsidRDefault="00ED2CE2" w:rsidP="00ED2CE2">
      <w:pPr>
        <w:tabs>
          <w:tab w:val="left" w:pos="360"/>
        </w:tabs>
        <w:autoSpaceDE w:val="0"/>
        <w:autoSpaceDN w:val="0"/>
        <w:adjustRightInd w:val="0"/>
        <w:rPr>
          <w:rFonts w:eastAsia="Times New Roman"/>
          <w:szCs w:val="24"/>
        </w:rPr>
      </w:pPr>
    </w:p>
    <w:p w:rsidR="00ED2CE2" w:rsidRPr="004C7B0D" w:rsidRDefault="00ED2CE2" w:rsidP="00ED2CE2">
      <w:pPr>
        <w:pStyle w:val="Heading3"/>
      </w:pPr>
      <w:r w:rsidRPr="004C7B0D">
        <w:t>5.5.3</w:t>
      </w:r>
      <w:r>
        <w:tab/>
      </w:r>
      <w:r w:rsidRPr="00576258">
        <w:rPr>
          <w:u w:val="single"/>
        </w:rPr>
        <w:t>Appeal Process</w:t>
      </w:r>
    </w:p>
    <w:p w:rsidR="00ED2CE2" w:rsidRPr="004C7B0D" w:rsidRDefault="00ED2CE2" w:rsidP="00ED2CE2">
      <w:pPr>
        <w:tabs>
          <w:tab w:val="left" w:pos="360"/>
        </w:tabs>
        <w:autoSpaceDE w:val="0"/>
        <w:autoSpaceDN w:val="0"/>
        <w:adjustRightInd w:val="0"/>
        <w:rPr>
          <w:rFonts w:eastAsia="Times New Roman"/>
          <w:szCs w:val="24"/>
        </w:rPr>
      </w:pPr>
    </w:p>
    <w:p w:rsidR="00ED2CE2" w:rsidRPr="004C7B0D" w:rsidRDefault="00ED2CE2" w:rsidP="00ED2CE2">
      <w:pPr>
        <w:tabs>
          <w:tab w:val="left" w:pos="360"/>
        </w:tabs>
        <w:autoSpaceDE w:val="0"/>
        <w:autoSpaceDN w:val="0"/>
        <w:adjustRightInd w:val="0"/>
        <w:rPr>
          <w:rFonts w:eastAsia="Times New Roman"/>
          <w:szCs w:val="24"/>
        </w:rPr>
      </w:pPr>
      <w:r w:rsidRPr="004C7B0D">
        <w:rPr>
          <w:rFonts w:eastAsia="Times New Roman"/>
          <w:szCs w:val="24"/>
        </w:rPr>
        <w:t>If concerns about the completeness and/or accuracy of a Statement of Interest or Disclosure of Interest persist after reasonable attempts are made to resolve them with the Relevant Party, the matter shall be brought to the attention of the applicable Chair and handled according to decision-making methodology and appeal process as prescribed in the</w:t>
      </w:r>
      <w:r>
        <w:rPr>
          <w:rFonts w:eastAsia="Times New Roman"/>
          <w:szCs w:val="24"/>
        </w:rPr>
        <w:t xml:space="preserve"> GNSO Working Group Guidelines</w:t>
      </w:r>
      <w:r w:rsidRPr="004C7B0D">
        <w:rPr>
          <w:rFonts w:eastAsia="Times New Roman"/>
          <w:szCs w:val="24"/>
          <w:vertAlign w:val="superscript"/>
        </w:rPr>
        <w:footnoteReference w:id="2"/>
      </w:r>
      <w:r w:rsidRPr="004C7B0D">
        <w:rPr>
          <w:rFonts w:eastAsia="Times New Roman"/>
          <w:szCs w:val="24"/>
        </w:rPr>
        <w:t xml:space="preserve">.  At each step of the appeal process, every effort should be made to resolve the accuracy concerns by working cooperatively with the Relevant Party.  </w:t>
      </w:r>
    </w:p>
    <w:p w:rsidR="00ED2CE2" w:rsidRPr="004C7B0D" w:rsidRDefault="00ED2CE2" w:rsidP="00ED2CE2">
      <w:pPr>
        <w:tabs>
          <w:tab w:val="left" w:pos="360"/>
        </w:tabs>
        <w:autoSpaceDE w:val="0"/>
        <w:autoSpaceDN w:val="0"/>
        <w:adjustRightInd w:val="0"/>
        <w:rPr>
          <w:rFonts w:eastAsia="Times New Roman"/>
          <w:szCs w:val="24"/>
        </w:rPr>
      </w:pPr>
    </w:p>
    <w:p w:rsidR="00ED2CE2" w:rsidRPr="004C7B0D" w:rsidRDefault="00ED2CE2" w:rsidP="00ED2CE2">
      <w:pPr>
        <w:pStyle w:val="Heading2"/>
      </w:pPr>
      <w:bookmarkStart w:id="6" w:name="_Toc267927301"/>
      <w:r>
        <w:t>5.6</w:t>
      </w:r>
      <w:r>
        <w:tab/>
      </w:r>
      <w:r w:rsidRPr="004C7B0D">
        <w:t>Failure to Comply</w:t>
      </w:r>
      <w:bookmarkEnd w:id="6"/>
      <w:r w:rsidRPr="004C7B0D">
        <w:t xml:space="preserve"> </w:t>
      </w:r>
    </w:p>
    <w:p w:rsidR="00ED2CE2" w:rsidRDefault="00ED2CE2" w:rsidP="00ED2CE2">
      <w:pPr>
        <w:pStyle w:val="Heading3"/>
      </w:pPr>
    </w:p>
    <w:p w:rsidR="00ED2CE2" w:rsidRPr="004C7B0D" w:rsidRDefault="00ED2CE2" w:rsidP="00ED2CE2">
      <w:pPr>
        <w:pStyle w:val="Heading3"/>
      </w:pPr>
      <w:r>
        <w:t>5.6.1</w:t>
      </w:r>
      <w:r>
        <w:tab/>
      </w:r>
      <w:r w:rsidRPr="00576258">
        <w:rPr>
          <w:u w:val="single"/>
        </w:rPr>
        <w:t>Requirement to Participate</w:t>
      </w:r>
    </w:p>
    <w:p w:rsidR="00ED2CE2" w:rsidRPr="004C7B0D" w:rsidRDefault="00ED2CE2" w:rsidP="00ED2CE2">
      <w:pPr>
        <w:rPr>
          <w:rFonts w:eastAsia="Times New Roman"/>
          <w:color w:val="000000"/>
          <w:szCs w:val="24"/>
        </w:rPr>
      </w:pPr>
    </w:p>
    <w:p w:rsidR="00ED2CE2" w:rsidRPr="004C7B0D" w:rsidRDefault="00ED2CE2" w:rsidP="00ED2CE2">
      <w:pPr>
        <w:rPr>
          <w:rFonts w:eastAsia="Times New Roman"/>
          <w:color w:val="000000"/>
          <w:szCs w:val="24"/>
        </w:rPr>
      </w:pPr>
      <w:r w:rsidRPr="004C7B0D">
        <w:rPr>
          <w:rFonts w:eastAsia="Times New Roman"/>
          <w:color w:val="000000"/>
          <w:szCs w:val="24"/>
        </w:rPr>
        <w:t xml:space="preserve">A Statement of Interest form must be submitted by each Relevant Party in accordance with these procedures.  If a Relevant Party fails to provide a Statement of Interest prior to the start of a GNSO meeting, the Chair may temporarily suspend that Relevant Party’s participation until the Statement of Interest is provided.  Participation shall not be suspended if a Statement of Interest is subject to the Appeals process of 5.5.3 until a final determination is made under that process.  </w:t>
      </w:r>
    </w:p>
    <w:p w:rsidR="00ED2CE2" w:rsidRDefault="00ED2CE2" w:rsidP="00ED2CE2">
      <w:pPr>
        <w:pStyle w:val="Heading3"/>
      </w:pPr>
    </w:p>
    <w:p w:rsidR="00ED2CE2" w:rsidRPr="004C7B0D" w:rsidRDefault="00ED2CE2" w:rsidP="00ED2CE2">
      <w:pPr>
        <w:pStyle w:val="Heading3"/>
      </w:pPr>
      <w:r>
        <w:t>5.6.2</w:t>
      </w:r>
      <w:r>
        <w:tab/>
      </w:r>
      <w:r w:rsidRPr="00C14CF4">
        <w:rPr>
          <w:u w:val="single"/>
        </w:rPr>
        <w:t>Suspension</w:t>
      </w:r>
    </w:p>
    <w:p w:rsidR="00ED2CE2" w:rsidRPr="004C7B0D" w:rsidRDefault="00ED2CE2" w:rsidP="00ED2CE2">
      <w:pPr>
        <w:rPr>
          <w:rFonts w:eastAsia="Times New Roman"/>
          <w:color w:val="000000"/>
          <w:szCs w:val="24"/>
        </w:rPr>
      </w:pPr>
    </w:p>
    <w:p w:rsidR="00ED2CE2" w:rsidRPr="005E3350" w:rsidRDefault="00ED2CE2" w:rsidP="00ED2CE2">
      <w:pPr>
        <w:rPr>
          <w:szCs w:val="24"/>
        </w:rPr>
      </w:pPr>
      <w:r w:rsidRPr="004C7B0D">
        <w:rPr>
          <w:rFonts w:eastAsia="Times New Roman"/>
          <w:color w:val="000000"/>
          <w:szCs w:val="24"/>
        </w:rPr>
        <w:t xml:space="preserve">Pursuant to the appeal provisions referenced in 5.5.3, if it is determined that a Relevant Party has not complied with these procedures, the GNSO Council Chair, in consultation with the Vice-Chairs, may suspend that Relevant Party’s participation in GNSO affairs until the failure to comply has been remedied.  The ICANN General Counsel and GNSO Council will be notified when such actions are taken as a matter of protocol and the decision to take this step will be </w:t>
      </w:r>
      <w:r w:rsidRPr="004C7B0D">
        <w:rPr>
          <w:rFonts w:eastAsia="Times New Roman"/>
          <w:color w:val="000000"/>
          <w:szCs w:val="24"/>
        </w:rPr>
        <w:lastRenderedPageBreak/>
        <w:t xml:space="preserve">recorded in the GNSO Council minutes.  If the failure to comply pertains to a Chair, the applicable Vice-Chairs shall act pending completion of the appeal process.  If the failure to comply pertains to the GNSO Council Chair, the Vice-Chairs shall act after consulting with the ICANN Vice President - Policy Development. </w:t>
      </w:r>
    </w:p>
    <w:sectPr w:rsidR="00ED2CE2" w:rsidRPr="005E3350" w:rsidSect="00ED2CE2">
      <w:footerReference w:type="default" r:id="rId7"/>
      <w:pgSz w:w="12240" w:h="15840" w:code="1"/>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7763" w:rsidRDefault="00457763">
      <w:r>
        <w:separator/>
      </w:r>
    </w:p>
  </w:endnote>
  <w:endnote w:type="continuationSeparator" w:id="0">
    <w:p w:rsidR="00457763" w:rsidRDefault="0045776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2CE2" w:rsidRPr="000A554F" w:rsidRDefault="00ED2CE2" w:rsidP="00ED2CE2">
    <w:pPr>
      <w:pStyle w:val="Footer"/>
      <w:pBdr>
        <w:top w:val="thinThickSmallGap" w:sz="24" w:space="1" w:color="632523"/>
      </w:pBdr>
      <w:tabs>
        <w:tab w:val="clear" w:pos="4680"/>
      </w:tabs>
      <w:rPr>
        <w:i/>
      </w:rPr>
    </w:pPr>
    <w:r>
      <w:rPr>
        <w:i/>
      </w:rPr>
      <w:t>Version 2.0</w:t>
    </w:r>
    <w:r w:rsidRPr="000A554F">
      <w:rPr>
        <w:i/>
      </w:rPr>
      <w:tab/>
      <w:t xml:space="preserve">Page </w:t>
    </w:r>
    <w:r w:rsidRPr="000A554F">
      <w:rPr>
        <w:i/>
      </w:rPr>
      <w:fldChar w:fldCharType="begin"/>
    </w:r>
    <w:r w:rsidRPr="000A554F">
      <w:rPr>
        <w:i/>
      </w:rPr>
      <w:instrText xml:space="preserve"> PAGE   \* MERGEFORMAT </w:instrText>
    </w:r>
    <w:r w:rsidRPr="000A554F">
      <w:rPr>
        <w:i/>
      </w:rPr>
      <w:fldChar w:fldCharType="separate"/>
    </w:r>
    <w:r w:rsidR="00816266">
      <w:rPr>
        <w:i/>
        <w:noProof/>
      </w:rPr>
      <w:t>5</w:t>
    </w:r>
    <w:r w:rsidRPr="000A554F">
      <w:rPr>
        <w:i/>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7763" w:rsidRDefault="00457763">
      <w:r>
        <w:separator/>
      </w:r>
    </w:p>
  </w:footnote>
  <w:footnote w:type="continuationSeparator" w:id="0">
    <w:p w:rsidR="00457763" w:rsidRDefault="00457763">
      <w:r>
        <w:continuationSeparator/>
      </w:r>
    </w:p>
  </w:footnote>
  <w:footnote w:id="1">
    <w:p w:rsidR="00ED2CE2" w:rsidRPr="00AB7A57" w:rsidRDefault="00ED2CE2" w:rsidP="00ED2CE2">
      <w:pPr>
        <w:pStyle w:val="FootnoteText"/>
      </w:pPr>
      <w:r w:rsidRPr="00AB7A57">
        <w:rPr>
          <w:rStyle w:val="FootnoteReference"/>
        </w:rPr>
        <w:footnoteRef/>
      </w:r>
      <w:r w:rsidRPr="00AB7A57">
        <w:t xml:space="preserve"> This section is </w:t>
      </w:r>
      <w:r w:rsidRPr="00AB7A57">
        <w:rPr>
          <w:b/>
          <w:u w:val="single"/>
        </w:rPr>
        <w:t>not approved</w:t>
      </w:r>
      <w:r w:rsidRPr="00AB7A57">
        <w:t xml:space="preserve"> pending creation by ICANN Staff of a list of entities with which ICANN has a transaction, contract, or other arrangement (e.g. Registries, Registrars, Consultants, et al.), including appropriate considerations of privacy. </w:t>
      </w:r>
    </w:p>
  </w:footnote>
  <w:footnote w:id="2">
    <w:p w:rsidR="00ED2CE2" w:rsidRPr="00AB7A57" w:rsidRDefault="00ED2CE2" w:rsidP="00ED2CE2">
      <w:pPr>
        <w:pStyle w:val="FootnoteText"/>
      </w:pPr>
      <w:r w:rsidRPr="005C68A8">
        <w:rPr>
          <w:rStyle w:val="FootnoteReference"/>
        </w:rPr>
        <w:footnoteRef/>
      </w:r>
      <w:r w:rsidRPr="005C68A8">
        <w:t xml:space="preserve"> </w:t>
      </w:r>
      <w:r>
        <w:t>A</w:t>
      </w:r>
      <w:r w:rsidRPr="005C68A8">
        <w:t xml:space="preserve"> reference will be </w:t>
      </w:r>
      <w:r>
        <w:t>supplied</w:t>
      </w:r>
      <w:r w:rsidRPr="005C68A8">
        <w:t xml:space="preserve"> once the final </w:t>
      </w:r>
      <w:r>
        <w:t>document is</w:t>
      </w:r>
      <w:r w:rsidRPr="005C68A8">
        <w:t xml:space="preserve"> </w:t>
      </w:r>
      <w:r>
        <w:t xml:space="preserve">approved and published.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203B17"/>
    <w:multiLevelType w:val="hybridMultilevel"/>
    <w:tmpl w:val="2C460480"/>
    <w:lvl w:ilvl="0" w:tplc="4154B0D4">
      <w:start w:val="1"/>
      <w:numFmt w:val="lowerLetter"/>
      <w:lvlText w:val="%1."/>
      <w:lvlJc w:val="left"/>
      <w:pPr>
        <w:ind w:left="1260" w:hanging="360"/>
      </w:pPr>
      <w:rPr>
        <w:rFonts w:hint="default"/>
      </w:rPr>
    </w:lvl>
    <w:lvl w:ilvl="1" w:tplc="F3B4DC5E">
      <w:start w:val="1"/>
      <w:numFmt w:val="decimal"/>
      <w:lvlText w:val="%2)"/>
      <w:lvlJc w:val="left"/>
      <w:pPr>
        <w:ind w:left="1980" w:hanging="360"/>
      </w:pPr>
      <w:rPr>
        <w:rFonts w:hint="default"/>
      </w:r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nsid w:val="06731740"/>
    <w:multiLevelType w:val="hybridMultilevel"/>
    <w:tmpl w:val="6130DC9E"/>
    <w:lvl w:ilvl="0" w:tplc="04090019">
      <w:start w:val="1"/>
      <w:numFmt w:val="lowerLetter"/>
      <w:lvlText w:val="%1."/>
      <w:lvlJc w:val="lef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D507595"/>
    <w:multiLevelType w:val="multilevel"/>
    <w:tmpl w:val="C6DA3434"/>
    <w:lvl w:ilvl="0">
      <w:start w:val="1"/>
      <w:numFmt w:val="lowerLetter"/>
      <w:lvlText w:val="%1."/>
      <w:lvlJc w:val="left"/>
      <w:pPr>
        <w:ind w:left="460" w:hanging="460"/>
      </w:pPr>
      <w:rPr>
        <w:rFonts w:ascii="Times New Roman" w:eastAsia="Times New Roman" w:hAnsi="Times New Roman" w:cs="Times New Roman"/>
      </w:rPr>
    </w:lvl>
    <w:lvl w:ilvl="1">
      <w:start w:val="7"/>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3">
    <w:nsid w:val="0DAC3DBA"/>
    <w:multiLevelType w:val="hybridMultilevel"/>
    <w:tmpl w:val="9AC269E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DE36DCA"/>
    <w:multiLevelType w:val="hybridMultilevel"/>
    <w:tmpl w:val="70EA445A"/>
    <w:lvl w:ilvl="0" w:tplc="4ED82078">
      <w:start w:val="1"/>
      <w:numFmt w:val="lowerRoman"/>
      <w:lvlText w:val="%1."/>
      <w:lvlJc w:val="righ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DFB13C6"/>
    <w:multiLevelType w:val="hybridMultilevel"/>
    <w:tmpl w:val="3362ACA0"/>
    <w:lvl w:ilvl="0" w:tplc="A45E5AE4">
      <w:start w:val="1"/>
      <w:numFmt w:val="lowerLetter"/>
      <w:pStyle w:val="ArabicIndent"/>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91E403F"/>
    <w:multiLevelType w:val="hybridMultilevel"/>
    <w:tmpl w:val="C6100F84"/>
    <w:lvl w:ilvl="0" w:tplc="C3842232">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AD345AE"/>
    <w:multiLevelType w:val="hybridMultilevel"/>
    <w:tmpl w:val="7B387D3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75F6D600">
      <w:start w:val="1"/>
      <w:numFmt w:val="lowerRoman"/>
      <w:pStyle w:val="RomanIndent"/>
      <w:lvlText w:val="%3."/>
      <w:lvlJc w:val="right"/>
      <w:pPr>
        <w:tabs>
          <w:tab w:val="num" w:pos="2160"/>
        </w:tabs>
        <w:ind w:left="2160" w:hanging="180"/>
      </w:pPr>
      <w:rPr>
        <w:rFonts w:hint="default"/>
      </w:r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nsid w:val="1D5A3A01"/>
    <w:multiLevelType w:val="hybridMultilevel"/>
    <w:tmpl w:val="CD98B994"/>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D8C29D4"/>
    <w:multiLevelType w:val="hybridMultilevel"/>
    <w:tmpl w:val="1598EFDC"/>
    <w:lvl w:ilvl="0" w:tplc="04090019">
      <w:start w:val="1"/>
      <w:numFmt w:val="lowerLetter"/>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FF12248"/>
    <w:multiLevelType w:val="hybridMultilevel"/>
    <w:tmpl w:val="970AFA76"/>
    <w:lvl w:ilvl="0" w:tplc="04090019">
      <w:start w:val="1"/>
      <w:numFmt w:val="lowerLetter"/>
      <w:lvlText w:val="%1."/>
      <w:lvlJc w:val="left"/>
      <w:pPr>
        <w:ind w:left="1350" w:hanging="360"/>
      </w:p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1">
    <w:nsid w:val="20452AC4"/>
    <w:multiLevelType w:val="hybridMultilevel"/>
    <w:tmpl w:val="D9960DA6"/>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22BB148D"/>
    <w:multiLevelType w:val="hybridMultilevel"/>
    <w:tmpl w:val="1F2EA39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AE25B4F"/>
    <w:multiLevelType w:val="hybridMultilevel"/>
    <w:tmpl w:val="40241332"/>
    <w:lvl w:ilvl="0" w:tplc="01C081D6">
      <w:start w:val="1"/>
      <w:numFmt w:val="lowerRoman"/>
      <w:lvlText w:val="%1."/>
      <w:lvlJc w:val="right"/>
      <w:pPr>
        <w:ind w:left="1980" w:hanging="720"/>
      </w:pPr>
      <w:rPr>
        <w:rFonts w:hint="default"/>
      </w:rPr>
    </w:lvl>
    <w:lvl w:ilvl="1" w:tplc="04090019">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4">
    <w:nsid w:val="2CDD47D0"/>
    <w:multiLevelType w:val="hybridMultilevel"/>
    <w:tmpl w:val="4F142ED4"/>
    <w:lvl w:ilvl="0" w:tplc="D9FA0154">
      <w:start w:val="2"/>
      <w:numFmt w:val="lowerRoman"/>
      <w:lvlText w:val="%1."/>
      <w:lvlJc w:val="right"/>
      <w:pPr>
        <w:ind w:left="1800" w:hanging="360"/>
      </w:pPr>
      <w:rPr>
        <w:rFonts w:hint="default"/>
      </w:rPr>
    </w:lvl>
    <w:lvl w:ilvl="1" w:tplc="04090019" w:tentative="1">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nsid w:val="3D93698B"/>
    <w:multiLevelType w:val="hybridMultilevel"/>
    <w:tmpl w:val="8006D13C"/>
    <w:lvl w:ilvl="0" w:tplc="88DC0B62">
      <w:start w:val="1"/>
      <w:numFmt w:val="lowerLetter"/>
      <w:lvlText w:val="%1."/>
      <w:lvlJc w:val="left"/>
      <w:pPr>
        <w:ind w:left="1346" w:hanging="360"/>
      </w:pPr>
    </w:lvl>
    <w:lvl w:ilvl="1" w:tplc="04090019">
      <w:start w:val="1"/>
      <w:numFmt w:val="lowerLetter"/>
      <w:lvlText w:val="%2."/>
      <w:lvlJc w:val="left"/>
      <w:pPr>
        <w:ind w:left="2066" w:hanging="360"/>
      </w:pPr>
    </w:lvl>
    <w:lvl w:ilvl="2" w:tplc="0409001B" w:tentative="1">
      <w:start w:val="1"/>
      <w:numFmt w:val="lowerRoman"/>
      <w:lvlText w:val="%3."/>
      <w:lvlJc w:val="right"/>
      <w:pPr>
        <w:ind w:left="2786" w:hanging="180"/>
      </w:pPr>
    </w:lvl>
    <w:lvl w:ilvl="3" w:tplc="0409000F" w:tentative="1">
      <w:start w:val="1"/>
      <w:numFmt w:val="decimal"/>
      <w:lvlText w:val="%4."/>
      <w:lvlJc w:val="left"/>
      <w:pPr>
        <w:ind w:left="3506" w:hanging="360"/>
      </w:pPr>
    </w:lvl>
    <w:lvl w:ilvl="4" w:tplc="04090019" w:tentative="1">
      <w:start w:val="1"/>
      <w:numFmt w:val="lowerLetter"/>
      <w:lvlText w:val="%5."/>
      <w:lvlJc w:val="left"/>
      <w:pPr>
        <w:ind w:left="4226" w:hanging="360"/>
      </w:pPr>
    </w:lvl>
    <w:lvl w:ilvl="5" w:tplc="0409001B" w:tentative="1">
      <w:start w:val="1"/>
      <w:numFmt w:val="lowerRoman"/>
      <w:lvlText w:val="%6."/>
      <w:lvlJc w:val="right"/>
      <w:pPr>
        <w:ind w:left="4946" w:hanging="180"/>
      </w:pPr>
    </w:lvl>
    <w:lvl w:ilvl="6" w:tplc="0409000F" w:tentative="1">
      <w:start w:val="1"/>
      <w:numFmt w:val="decimal"/>
      <w:lvlText w:val="%7."/>
      <w:lvlJc w:val="left"/>
      <w:pPr>
        <w:ind w:left="5666" w:hanging="360"/>
      </w:pPr>
    </w:lvl>
    <w:lvl w:ilvl="7" w:tplc="04090019" w:tentative="1">
      <w:start w:val="1"/>
      <w:numFmt w:val="lowerLetter"/>
      <w:lvlText w:val="%8."/>
      <w:lvlJc w:val="left"/>
      <w:pPr>
        <w:ind w:left="6386" w:hanging="360"/>
      </w:pPr>
    </w:lvl>
    <w:lvl w:ilvl="8" w:tplc="0409001B" w:tentative="1">
      <w:start w:val="1"/>
      <w:numFmt w:val="lowerRoman"/>
      <w:lvlText w:val="%9."/>
      <w:lvlJc w:val="right"/>
      <w:pPr>
        <w:ind w:left="7106" w:hanging="180"/>
      </w:pPr>
    </w:lvl>
  </w:abstractNum>
  <w:abstractNum w:abstractNumId="16">
    <w:nsid w:val="3DD136D2"/>
    <w:multiLevelType w:val="hybridMultilevel"/>
    <w:tmpl w:val="A93004C8"/>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12E520B"/>
    <w:multiLevelType w:val="multilevel"/>
    <w:tmpl w:val="C812DA4C"/>
    <w:lvl w:ilvl="0">
      <w:start w:val="1"/>
      <w:numFmt w:val="upperLetter"/>
      <w:lvlText w:val="%1."/>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lowerLetter"/>
      <w:lvlText w:val="%4)"/>
      <w:lvlJc w:val="left"/>
      <w:pPr>
        <w:ind w:left="2880" w:hanging="360"/>
      </w:pPr>
      <w:rPr>
        <w:rFonts w:hint="default"/>
      </w:rPr>
    </w:lvl>
    <w:lvl w:ilvl="4">
      <w:start w:val="1"/>
      <w:numFmt w:val="lowerLetter"/>
      <w:lvlText w:val="%5."/>
      <w:lvlJc w:val="left"/>
      <w:pPr>
        <w:ind w:left="3600" w:hanging="360"/>
      </w:pPr>
      <w:rPr>
        <w:rFonts w:hint="default"/>
      </w:r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421019C5"/>
    <w:multiLevelType w:val="hybridMultilevel"/>
    <w:tmpl w:val="CC101166"/>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9">
    <w:nsid w:val="43D46A58"/>
    <w:multiLevelType w:val="hybridMultilevel"/>
    <w:tmpl w:val="E2C40C3A"/>
    <w:lvl w:ilvl="0" w:tplc="1FA2D876">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A8A6617"/>
    <w:multiLevelType w:val="hybridMultilevel"/>
    <w:tmpl w:val="993C0158"/>
    <w:lvl w:ilvl="0" w:tplc="47867246">
      <w:start w:val="9"/>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AB82CDB"/>
    <w:multiLevelType w:val="hybridMultilevel"/>
    <w:tmpl w:val="18A4C30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BBE066B"/>
    <w:multiLevelType w:val="hybridMultilevel"/>
    <w:tmpl w:val="A9048BEE"/>
    <w:lvl w:ilvl="0" w:tplc="0409000F">
      <w:start w:val="1"/>
      <w:numFmt w:val="lowerLetter"/>
      <w:lvlText w:val="%1."/>
      <w:lvlJc w:val="left"/>
      <w:pPr>
        <w:ind w:left="720" w:hanging="360"/>
      </w:pPr>
      <w:rPr>
        <w:rFonts w:hint="default"/>
      </w:rPr>
    </w:lvl>
    <w:lvl w:ilvl="1" w:tplc="04090019" w:tentative="1">
      <w:start w:val="1"/>
      <w:numFmt w:val="bullet"/>
      <w:lvlText w:val="o"/>
      <w:lvlJc w:val="left"/>
      <w:pPr>
        <w:ind w:left="1440" w:hanging="360"/>
      </w:pPr>
      <w:rPr>
        <w:rFonts w:ascii="Courier New" w:hAnsi="Courier New" w:cs="Wingdings"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Wingdings"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Wingdings" w:hint="default"/>
      </w:rPr>
    </w:lvl>
    <w:lvl w:ilvl="8" w:tplc="0409001B" w:tentative="1">
      <w:start w:val="1"/>
      <w:numFmt w:val="bullet"/>
      <w:lvlText w:val=""/>
      <w:lvlJc w:val="left"/>
      <w:pPr>
        <w:ind w:left="6480" w:hanging="360"/>
      </w:pPr>
      <w:rPr>
        <w:rFonts w:ascii="Wingdings" w:hAnsi="Wingdings" w:hint="default"/>
      </w:rPr>
    </w:lvl>
  </w:abstractNum>
  <w:abstractNum w:abstractNumId="23">
    <w:nsid w:val="4EB82837"/>
    <w:multiLevelType w:val="hybridMultilevel"/>
    <w:tmpl w:val="828CC1EC"/>
    <w:lvl w:ilvl="0" w:tplc="04090019">
      <w:start w:val="1"/>
      <w:numFmt w:val="lowerLetter"/>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24">
    <w:nsid w:val="4F0D71FE"/>
    <w:multiLevelType w:val="hybridMultilevel"/>
    <w:tmpl w:val="A6F6AEB0"/>
    <w:lvl w:ilvl="0" w:tplc="AEC69318">
      <w:start w:val="1"/>
      <w:numFmt w:val="lowerRoman"/>
      <w:lvlText w:val="%1."/>
      <w:lvlJc w:val="right"/>
      <w:pPr>
        <w:ind w:left="1440" w:hanging="72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56467D3F"/>
    <w:multiLevelType w:val="hybridMultilevel"/>
    <w:tmpl w:val="7DEC49EE"/>
    <w:lvl w:ilvl="0" w:tplc="88DC0B62">
      <w:start w:val="1"/>
      <w:numFmt w:val="decimal"/>
      <w:lvlText w:val="%1."/>
      <w:lvlJc w:val="left"/>
      <w:pPr>
        <w:ind w:left="1080" w:hanging="360"/>
      </w:pPr>
      <w:rPr>
        <w:rFonts w:hint="default"/>
      </w:rPr>
    </w:lvl>
    <w:lvl w:ilvl="1" w:tplc="04090019" w:tentative="1">
      <w:start w:val="1"/>
      <w:numFmt w:val="bullet"/>
      <w:lvlText w:val="o"/>
      <w:lvlJc w:val="left"/>
      <w:pPr>
        <w:ind w:left="1800" w:hanging="360"/>
      </w:pPr>
      <w:rPr>
        <w:rFonts w:ascii="Courier New" w:hAnsi="Courier New" w:cs="Wingdings" w:hint="default"/>
      </w:rPr>
    </w:lvl>
    <w:lvl w:ilvl="2" w:tplc="0409001B" w:tentative="1">
      <w:start w:val="1"/>
      <w:numFmt w:val="bullet"/>
      <w:lvlText w:val=""/>
      <w:lvlJc w:val="left"/>
      <w:pPr>
        <w:ind w:left="2520" w:hanging="360"/>
      </w:pPr>
      <w:rPr>
        <w:rFonts w:ascii="Wingdings" w:hAnsi="Wingdings" w:hint="default"/>
      </w:rPr>
    </w:lvl>
    <w:lvl w:ilvl="3" w:tplc="0409000F" w:tentative="1">
      <w:start w:val="1"/>
      <w:numFmt w:val="bullet"/>
      <w:lvlText w:val=""/>
      <w:lvlJc w:val="left"/>
      <w:pPr>
        <w:ind w:left="3240" w:hanging="360"/>
      </w:pPr>
      <w:rPr>
        <w:rFonts w:ascii="Symbol" w:hAnsi="Symbol" w:hint="default"/>
      </w:rPr>
    </w:lvl>
    <w:lvl w:ilvl="4" w:tplc="04090019" w:tentative="1">
      <w:start w:val="1"/>
      <w:numFmt w:val="bullet"/>
      <w:lvlText w:val="o"/>
      <w:lvlJc w:val="left"/>
      <w:pPr>
        <w:ind w:left="3960" w:hanging="360"/>
      </w:pPr>
      <w:rPr>
        <w:rFonts w:ascii="Courier New" w:hAnsi="Courier New" w:cs="Wingdings" w:hint="default"/>
      </w:rPr>
    </w:lvl>
    <w:lvl w:ilvl="5" w:tplc="0409001B" w:tentative="1">
      <w:start w:val="1"/>
      <w:numFmt w:val="bullet"/>
      <w:lvlText w:val=""/>
      <w:lvlJc w:val="left"/>
      <w:pPr>
        <w:ind w:left="4680" w:hanging="360"/>
      </w:pPr>
      <w:rPr>
        <w:rFonts w:ascii="Wingdings" w:hAnsi="Wingdings" w:hint="default"/>
      </w:rPr>
    </w:lvl>
    <w:lvl w:ilvl="6" w:tplc="0409000F" w:tentative="1">
      <w:start w:val="1"/>
      <w:numFmt w:val="bullet"/>
      <w:lvlText w:val=""/>
      <w:lvlJc w:val="left"/>
      <w:pPr>
        <w:ind w:left="5400" w:hanging="360"/>
      </w:pPr>
      <w:rPr>
        <w:rFonts w:ascii="Symbol" w:hAnsi="Symbol" w:hint="default"/>
      </w:rPr>
    </w:lvl>
    <w:lvl w:ilvl="7" w:tplc="04090019" w:tentative="1">
      <w:start w:val="1"/>
      <w:numFmt w:val="bullet"/>
      <w:lvlText w:val="o"/>
      <w:lvlJc w:val="left"/>
      <w:pPr>
        <w:ind w:left="6120" w:hanging="360"/>
      </w:pPr>
      <w:rPr>
        <w:rFonts w:ascii="Courier New" w:hAnsi="Courier New" w:cs="Wingdings" w:hint="default"/>
      </w:rPr>
    </w:lvl>
    <w:lvl w:ilvl="8" w:tplc="0409001B" w:tentative="1">
      <w:start w:val="1"/>
      <w:numFmt w:val="bullet"/>
      <w:lvlText w:val=""/>
      <w:lvlJc w:val="left"/>
      <w:pPr>
        <w:ind w:left="6840" w:hanging="360"/>
      </w:pPr>
      <w:rPr>
        <w:rFonts w:ascii="Wingdings" w:hAnsi="Wingdings" w:hint="default"/>
      </w:rPr>
    </w:lvl>
  </w:abstractNum>
  <w:abstractNum w:abstractNumId="26">
    <w:nsid w:val="5BC0110F"/>
    <w:multiLevelType w:val="hybridMultilevel"/>
    <w:tmpl w:val="3648B97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D0713B4"/>
    <w:multiLevelType w:val="hybridMultilevel"/>
    <w:tmpl w:val="C02E5ECE"/>
    <w:lvl w:ilvl="0" w:tplc="0409000F">
      <w:numFmt w:val="bullet"/>
      <w:lvlText w:val="•"/>
      <w:lvlJc w:val="left"/>
      <w:pPr>
        <w:ind w:left="720" w:hanging="360"/>
      </w:pPr>
      <w:rPr>
        <w:rFonts w:ascii="Calibri" w:eastAsia="Calibri" w:hAnsi="Calibri" w:cs="Wingdings"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6AF1E8C"/>
    <w:multiLevelType w:val="hybridMultilevel"/>
    <w:tmpl w:val="2B7A7120"/>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56B4D196">
      <w:start w:val="3"/>
      <w:numFmt w:val="decimal"/>
      <w:lvlText w:val="%3."/>
      <w:lvlJc w:val="left"/>
      <w:pPr>
        <w:ind w:left="30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nsid w:val="682814BD"/>
    <w:multiLevelType w:val="hybridMultilevel"/>
    <w:tmpl w:val="96C81BD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nsid w:val="6C7C1719"/>
    <w:multiLevelType w:val="hybridMultilevel"/>
    <w:tmpl w:val="9EC42F24"/>
    <w:lvl w:ilvl="0" w:tplc="04090011">
      <w:start w:val="1"/>
      <w:numFmt w:val="lowerLetter"/>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31">
    <w:nsid w:val="703A31E6"/>
    <w:multiLevelType w:val="hybridMultilevel"/>
    <w:tmpl w:val="F242858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nsid w:val="787865EB"/>
    <w:multiLevelType w:val="multilevel"/>
    <w:tmpl w:val="6BD8CEE0"/>
    <w:lvl w:ilvl="0">
      <w:start w:val="1"/>
      <w:numFmt w:val="decimal"/>
      <w:lvlText w:val="%1."/>
      <w:lvlJc w:val="left"/>
      <w:pPr>
        <w:tabs>
          <w:tab w:val="num" w:pos="420"/>
        </w:tabs>
        <w:ind w:left="420" w:hanging="360"/>
      </w:pPr>
      <w:rPr>
        <w:rFonts w:hint="default"/>
        <w:color w:val="000000"/>
      </w:rPr>
    </w:lvl>
    <w:lvl w:ilvl="1">
      <w:start w:val="3"/>
      <w:numFmt w:val="decimal"/>
      <w:isLgl/>
      <w:lvlText w:val="%1.%2"/>
      <w:lvlJc w:val="left"/>
      <w:pPr>
        <w:ind w:left="540" w:hanging="480"/>
      </w:pPr>
      <w:rPr>
        <w:rFonts w:hint="default"/>
        <w:color w:val="auto"/>
      </w:rPr>
    </w:lvl>
    <w:lvl w:ilvl="2">
      <w:start w:val="4"/>
      <w:numFmt w:val="decimal"/>
      <w:isLgl/>
      <w:lvlText w:val="%1.%2.%3"/>
      <w:lvlJc w:val="left"/>
      <w:pPr>
        <w:ind w:left="780" w:hanging="720"/>
      </w:pPr>
      <w:rPr>
        <w:rFonts w:hint="default"/>
        <w:color w:val="auto"/>
      </w:rPr>
    </w:lvl>
    <w:lvl w:ilvl="3">
      <w:start w:val="1"/>
      <w:numFmt w:val="decimal"/>
      <w:isLgl/>
      <w:lvlText w:val="%1.%2.%3.%4"/>
      <w:lvlJc w:val="left"/>
      <w:pPr>
        <w:ind w:left="780" w:hanging="720"/>
      </w:pPr>
      <w:rPr>
        <w:rFonts w:hint="default"/>
        <w:color w:val="auto"/>
      </w:rPr>
    </w:lvl>
    <w:lvl w:ilvl="4">
      <w:start w:val="1"/>
      <w:numFmt w:val="decimal"/>
      <w:isLgl/>
      <w:lvlText w:val="%1.%2.%3.%4.%5"/>
      <w:lvlJc w:val="left"/>
      <w:pPr>
        <w:ind w:left="1140" w:hanging="1080"/>
      </w:pPr>
      <w:rPr>
        <w:rFonts w:hint="default"/>
        <w:color w:val="auto"/>
      </w:rPr>
    </w:lvl>
    <w:lvl w:ilvl="5">
      <w:start w:val="1"/>
      <w:numFmt w:val="decimal"/>
      <w:isLgl/>
      <w:lvlText w:val="%1.%2.%3.%4.%5.%6"/>
      <w:lvlJc w:val="left"/>
      <w:pPr>
        <w:ind w:left="1140" w:hanging="1080"/>
      </w:pPr>
      <w:rPr>
        <w:rFonts w:hint="default"/>
        <w:color w:val="auto"/>
      </w:rPr>
    </w:lvl>
    <w:lvl w:ilvl="6">
      <w:start w:val="1"/>
      <w:numFmt w:val="decimal"/>
      <w:isLgl/>
      <w:lvlText w:val="%1.%2.%3.%4.%5.%6.%7"/>
      <w:lvlJc w:val="left"/>
      <w:pPr>
        <w:ind w:left="1500" w:hanging="1440"/>
      </w:pPr>
      <w:rPr>
        <w:rFonts w:hint="default"/>
        <w:color w:val="auto"/>
      </w:rPr>
    </w:lvl>
    <w:lvl w:ilvl="7">
      <w:start w:val="1"/>
      <w:numFmt w:val="decimal"/>
      <w:isLgl/>
      <w:lvlText w:val="%1.%2.%3.%4.%5.%6.%7.%8"/>
      <w:lvlJc w:val="left"/>
      <w:pPr>
        <w:ind w:left="1500" w:hanging="1440"/>
      </w:pPr>
      <w:rPr>
        <w:rFonts w:hint="default"/>
        <w:color w:val="auto"/>
      </w:rPr>
    </w:lvl>
    <w:lvl w:ilvl="8">
      <w:start w:val="1"/>
      <w:numFmt w:val="decimal"/>
      <w:isLgl/>
      <w:lvlText w:val="%1.%2.%3.%4.%5.%6.%7.%8.%9"/>
      <w:lvlJc w:val="left"/>
      <w:pPr>
        <w:ind w:left="1860" w:hanging="1800"/>
      </w:pPr>
      <w:rPr>
        <w:rFonts w:hint="default"/>
        <w:color w:val="auto"/>
      </w:rPr>
    </w:lvl>
  </w:abstractNum>
  <w:abstractNum w:abstractNumId="33">
    <w:nsid w:val="78CA3E6C"/>
    <w:multiLevelType w:val="hybridMultilevel"/>
    <w:tmpl w:val="826E4984"/>
    <w:lvl w:ilvl="0">
      <w:start w:val="1"/>
      <w:numFmt w:val="lowerLetter"/>
      <w:lvlText w:val="%1."/>
      <w:lvlJc w:val="left"/>
      <w:pPr>
        <w:ind w:left="720" w:hanging="360"/>
      </w:pPr>
      <w:rPr>
        <w:rFonts w:hint="default"/>
      </w:rPr>
    </w:lvl>
    <w:lvl w:ilvl="1">
      <w:start w:val="1"/>
      <w:numFmt w:val="lowerRoman"/>
      <w:lvlText w:val="%2."/>
      <w:lvlJc w:val="righ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4">
    <w:nsid w:val="7A33448A"/>
    <w:multiLevelType w:val="hybridMultilevel"/>
    <w:tmpl w:val="3EFA880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7"/>
  </w:num>
  <w:num w:numId="3">
    <w:abstractNumId w:val="25"/>
  </w:num>
  <w:num w:numId="4">
    <w:abstractNumId w:val="5"/>
  </w:num>
  <w:num w:numId="5">
    <w:abstractNumId w:val="17"/>
  </w:num>
  <w:num w:numId="6">
    <w:abstractNumId w:val="27"/>
  </w:num>
  <w:num w:numId="7">
    <w:abstractNumId w:val="22"/>
  </w:num>
  <w:num w:numId="8">
    <w:abstractNumId w:val="8"/>
  </w:num>
  <w:num w:numId="9">
    <w:abstractNumId w:val="33"/>
  </w:num>
  <w:num w:numId="10">
    <w:abstractNumId w:val="16"/>
  </w:num>
  <w:num w:numId="11">
    <w:abstractNumId w:val="0"/>
  </w:num>
  <w:num w:numId="12">
    <w:abstractNumId w:val="32"/>
  </w:num>
  <w:num w:numId="13">
    <w:abstractNumId w:val="24"/>
  </w:num>
  <w:num w:numId="14">
    <w:abstractNumId w:val="13"/>
  </w:num>
  <w:num w:numId="15">
    <w:abstractNumId w:val="3"/>
  </w:num>
  <w:num w:numId="16">
    <w:abstractNumId w:val="18"/>
  </w:num>
  <w:num w:numId="17">
    <w:abstractNumId w:val="19"/>
  </w:num>
  <w:num w:numId="18">
    <w:abstractNumId w:val="23"/>
  </w:num>
  <w:num w:numId="19">
    <w:abstractNumId w:val="6"/>
  </w:num>
  <w:num w:numId="20">
    <w:abstractNumId w:val="4"/>
  </w:num>
  <w:num w:numId="21">
    <w:abstractNumId w:val="14"/>
  </w:num>
  <w:num w:numId="22">
    <w:abstractNumId w:val="30"/>
  </w:num>
  <w:num w:numId="23">
    <w:abstractNumId w:val="10"/>
  </w:num>
  <w:num w:numId="24">
    <w:abstractNumId w:val="15"/>
  </w:num>
  <w:num w:numId="25">
    <w:abstractNumId w:val="20"/>
  </w:num>
  <w:num w:numId="26">
    <w:abstractNumId w:val="29"/>
  </w:num>
  <w:num w:numId="27">
    <w:abstractNumId w:val="28"/>
  </w:num>
  <w:num w:numId="28">
    <w:abstractNumId w:val="2"/>
  </w:num>
  <w:num w:numId="29">
    <w:abstractNumId w:val="31"/>
  </w:num>
  <w:num w:numId="30">
    <w:abstractNumId w:val="26"/>
  </w:num>
  <w:num w:numId="31">
    <w:abstractNumId w:val="9"/>
  </w:num>
  <w:num w:numId="32">
    <w:abstractNumId w:val="12"/>
  </w:num>
  <w:num w:numId="33">
    <w:abstractNumId w:val="21"/>
  </w:num>
  <w:num w:numId="34">
    <w:abstractNumId w:val="34"/>
  </w:num>
  <w:num w:numId="35">
    <w:abstractNumId w:val="1"/>
  </w:num>
  <w:numIdMacAtCleanup w:val="3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grammar="clean"/>
  <w:stylePaneFormatFilter w:val="3F01"/>
  <w:stylePaneSortMethod w:val="0000"/>
  <w:trackRevisions/>
  <w:defaultTabStop w:val="720"/>
  <w:drawingGridHorizontalSpacing w:val="110"/>
  <w:displayHorizontalDrawingGridEvery w:val="2"/>
  <w:characterSpacingControl w:val="doNotCompress"/>
  <w:hdrShapeDefaults>
    <o:shapedefaults v:ext="edit" spidmax="3074"/>
  </w:hdrShapeDefaults>
  <w:footnotePr>
    <w:footnote w:id="-1"/>
    <w:footnote w:id="0"/>
  </w:footnotePr>
  <w:endnotePr>
    <w:endnote w:id="-1"/>
    <w:endnote w:id="0"/>
  </w:endnotePr>
  <w:compat/>
  <w:rsids>
    <w:rsidRoot w:val="008E4ACF"/>
    <w:rsid w:val="00457763"/>
    <w:rsid w:val="00816266"/>
    <w:rsid w:val="00ED2CE2"/>
  </w:rsids>
  <m:mathPr>
    <m:mathFont m:val="Cambria Math"/>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footnote text" w:uiPriority="99"/>
    <w:lsdException w:name="footer" w:uiPriority="99"/>
    <w:lsdException w:name="caption" w:semiHidden="1" w:unhideWhenUsed="1" w:qFormat="1"/>
    <w:lsdException w:name="footnote reference" w:uiPriority="99"/>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unhideWhenUsed="1"/>
    <w:lsdException w:name="No Spacing" w:uiPriority="99" w:qFormat="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lsdException w:name="Medium Grid 2" w:semiHidden="1"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semiHidden="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rsid w:val="00A4130D"/>
    <w:rPr>
      <w:rFonts w:ascii="Times New Roman" w:hAnsi="Times New Roman"/>
      <w:sz w:val="24"/>
      <w:szCs w:val="22"/>
    </w:rPr>
  </w:style>
  <w:style w:type="paragraph" w:styleId="Heading1">
    <w:name w:val="heading 1"/>
    <w:basedOn w:val="Normal"/>
    <w:next w:val="Normal"/>
    <w:uiPriority w:val="9"/>
    <w:qFormat/>
    <w:rsid w:val="00E56630"/>
    <w:pPr>
      <w:keepNext/>
      <w:spacing w:before="240" w:after="60"/>
      <w:outlineLvl w:val="0"/>
    </w:pPr>
    <w:rPr>
      <w:rFonts w:eastAsia="Times New Roman"/>
      <w:b/>
      <w:bCs/>
      <w:kern w:val="32"/>
      <w:sz w:val="28"/>
      <w:szCs w:val="28"/>
    </w:rPr>
  </w:style>
  <w:style w:type="paragraph" w:styleId="Heading2">
    <w:name w:val="heading 2"/>
    <w:basedOn w:val="Normal"/>
    <w:next w:val="Normal"/>
    <w:qFormat/>
    <w:rsid w:val="00E56630"/>
    <w:pPr>
      <w:ind w:left="540" w:hanging="540"/>
      <w:outlineLvl w:val="1"/>
    </w:pPr>
    <w:rPr>
      <w:b/>
      <w:bCs/>
      <w:szCs w:val="36"/>
    </w:rPr>
  </w:style>
  <w:style w:type="paragraph" w:styleId="Heading3">
    <w:name w:val="heading 3"/>
    <w:basedOn w:val="Normal"/>
    <w:next w:val="Normal"/>
    <w:qFormat/>
    <w:rsid w:val="00C60E01"/>
    <w:pPr>
      <w:ind w:left="720" w:hanging="720"/>
      <w:outlineLvl w:val="2"/>
    </w:pPr>
    <w:rPr>
      <w:bCs/>
      <w:szCs w:val="36"/>
    </w:rPr>
  </w:style>
  <w:style w:type="paragraph" w:styleId="Heading4">
    <w:name w:val="heading 4"/>
    <w:aliases w:val="L-3 Text"/>
    <w:basedOn w:val="Normal"/>
    <w:next w:val="Normal"/>
    <w:qFormat/>
    <w:rsid w:val="001F3A7E"/>
    <w:pPr>
      <w:ind w:left="720" w:hanging="720"/>
      <w:outlineLvl w:val="3"/>
    </w:pPr>
    <w:rPr>
      <w:bCs/>
      <w:szCs w:val="36"/>
    </w:rPr>
  </w:style>
  <w:style w:type="paragraph" w:styleId="Heading5">
    <w:name w:val="heading 5"/>
    <w:basedOn w:val="Normal"/>
    <w:next w:val="Normal"/>
    <w:qFormat/>
    <w:pPr>
      <w:keepNext/>
      <w:outlineLvl w:val="4"/>
    </w:pPr>
    <w:rPr>
      <w:b/>
      <w:szCs w:val="36"/>
    </w:rPr>
  </w:style>
  <w:style w:type="character" w:default="1" w:styleId="DefaultParagraphFont">
    <w:name w:val="Default Paragraph Font"/>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pPr>
      <w:spacing w:before="100" w:beforeAutospacing="1" w:after="100" w:afterAutospacing="1"/>
    </w:pPr>
    <w:rPr>
      <w:rFonts w:eastAsia="Times New Roman"/>
      <w:i/>
      <w:szCs w:val="24"/>
    </w:rPr>
  </w:style>
  <w:style w:type="character" w:styleId="CommentReference">
    <w:name w:val="annotation reference"/>
    <w:semiHidden/>
    <w:unhideWhenUsed/>
    <w:rPr>
      <w:sz w:val="16"/>
      <w:szCs w:val="16"/>
    </w:rPr>
  </w:style>
  <w:style w:type="paragraph" w:styleId="CommentText">
    <w:name w:val="annotation text"/>
    <w:basedOn w:val="Normal"/>
    <w:semiHidden/>
    <w:unhideWhenUsed/>
    <w:rPr>
      <w:rFonts w:ascii="Calibri" w:hAnsi="Calibri"/>
      <w:sz w:val="20"/>
      <w:szCs w:val="20"/>
    </w:rPr>
  </w:style>
  <w:style w:type="character" w:customStyle="1" w:styleId="CommentTextChar">
    <w:name w:val="Comment Text Char"/>
    <w:semiHidden/>
    <w:rPr>
      <w:rFonts w:ascii="Calibri" w:eastAsia="Calibri" w:hAnsi="Calibri" w:cs="Times New Roman"/>
      <w:sz w:val="20"/>
      <w:szCs w:val="20"/>
    </w:rPr>
  </w:style>
  <w:style w:type="paragraph" w:styleId="BalloonText">
    <w:name w:val="Balloon Text"/>
    <w:basedOn w:val="Normal"/>
    <w:semiHidden/>
    <w:unhideWhenUsed/>
    <w:rPr>
      <w:rFonts w:ascii="Tahoma" w:hAnsi="Tahoma" w:cs="Tahoma"/>
      <w:sz w:val="16"/>
      <w:szCs w:val="16"/>
    </w:rPr>
  </w:style>
  <w:style w:type="character" w:customStyle="1" w:styleId="BalloonTextChar">
    <w:name w:val="Balloon Text Char"/>
    <w:semiHidden/>
    <w:rPr>
      <w:rFonts w:ascii="Tahoma" w:hAnsi="Tahoma" w:cs="Tahoma"/>
      <w:sz w:val="16"/>
      <w:szCs w:val="16"/>
    </w:rPr>
  </w:style>
  <w:style w:type="paragraph" w:customStyle="1" w:styleId="ColorfulList-Accent12">
    <w:name w:val="Colorful List - Accent 12"/>
    <w:basedOn w:val="Normal"/>
    <w:pPr>
      <w:ind w:left="720"/>
      <w:contextualSpacing/>
    </w:pPr>
  </w:style>
  <w:style w:type="paragraph" w:styleId="FootnoteText">
    <w:name w:val="footnote text"/>
    <w:basedOn w:val="Normal"/>
    <w:uiPriority w:val="99"/>
    <w:semiHidden/>
    <w:unhideWhenUsed/>
    <w:rsid w:val="00E56630"/>
    <w:rPr>
      <w:sz w:val="20"/>
      <w:szCs w:val="20"/>
    </w:rPr>
  </w:style>
  <w:style w:type="character" w:customStyle="1" w:styleId="FootnoteTextChar">
    <w:name w:val="Footnote Text Char"/>
    <w:basedOn w:val="DefaultParagraphFont"/>
    <w:uiPriority w:val="99"/>
    <w:semiHidden/>
  </w:style>
  <w:style w:type="character" w:styleId="FootnoteReference">
    <w:name w:val="footnote reference"/>
    <w:uiPriority w:val="99"/>
    <w:semiHidden/>
    <w:unhideWhenUsed/>
    <w:rPr>
      <w:vertAlign w:val="superscript"/>
    </w:rPr>
  </w:style>
  <w:style w:type="character" w:styleId="Strong">
    <w:name w:val="Strong"/>
    <w:qFormat/>
    <w:rPr>
      <w:b/>
      <w:bCs/>
    </w:rPr>
  </w:style>
  <w:style w:type="paragraph" w:styleId="Header">
    <w:name w:val="header"/>
    <w:basedOn w:val="Normal"/>
    <w:unhideWhenUsed/>
    <w:pPr>
      <w:tabs>
        <w:tab w:val="center" w:pos="4680"/>
        <w:tab w:val="right" w:pos="9360"/>
      </w:tabs>
    </w:pPr>
  </w:style>
  <w:style w:type="character" w:customStyle="1" w:styleId="HeaderChar">
    <w:name w:val="Header Char"/>
    <w:semiHidden/>
    <w:rPr>
      <w:sz w:val="22"/>
      <w:szCs w:val="22"/>
    </w:rPr>
  </w:style>
  <w:style w:type="paragraph" w:styleId="Footer">
    <w:name w:val="footer"/>
    <w:basedOn w:val="Normal"/>
    <w:uiPriority w:val="99"/>
    <w:unhideWhenUsed/>
    <w:pPr>
      <w:tabs>
        <w:tab w:val="center" w:pos="4680"/>
        <w:tab w:val="right" w:pos="9360"/>
      </w:tabs>
    </w:pPr>
  </w:style>
  <w:style w:type="character" w:customStyle="1" w:styleId="FooterChar">
    <w:name w:val="Footer Char"/>
    <w:uiPriority w:val="99"/>
    <w:rPr>
      <w:sz w:val="22"/>
      <w:szCs w:val="22"/>
    </w:rPr>
  </w:style>
  <w:style w:type="character" w:styleId="Hyperlink">
    <w:name w:val="Hyperlink"/>
    <w:uiPriority w:val="99"/>
    <w:unhideWhenUsed/>
    <w:rPr>
      <w:color w:val="0000FF"/>
      <w:u w:val="single"/>
    </w:rPr>
  </w:style>
  <w:style w:type="paragraph" w:styleId="CommentSubject">
    <w:name w:val="annotation subject"/>
    <w:basedOn w:val="CommentText"/>
    <w:next w:val="CommentText"/>
    <w:semiHidden/>
    <w:unhideWhenUsed/>
    <w:rPr>
      <w:b/>
      <w:bCs/>
    </w:rPr>
  </w:style>
  <w:style w:type="character" w:customStyle="1" w:styleId="CommentSubjectChar">
    <w:name w:val="Comment Subject Char"/>
    <w:semiHidden/>
    <w:rPr>
      <w:rFonts w:ascii="Calibri" w:eastAsia="Calibri" w:hAnsi="Calibri" w:cs="Times New Roman"/>
      <w:b/>
      <w:bCs/>
      <w:sz w:val="20"/>
      <w:szCs w:val="20"/>
    </w:rPr>
  </w:style>
  <w:style w:type="character" w:styleId="FollowedHyperlink">
    <w:name w:val="FollowedHyperlink"/>
    <w:semiHidden/>
    <w:unhideWhenUsed/>
    <w:rPr>
      <w:color w:val="800080"/>
      <w:u w:val="single"/>
    </w:rPr>
  </w:style>
  <w:style w:type="character" w:styleId="Emphasis">
    <w:name w:val="Emphasis"/>
    <w:qFormat/>
    <w:rPr>
      <w:i/>
      <w:iCs/>
    </w:rPr>
  </w:style>
  <w:style w:type="paragraph" w:customStyle="1" w:styleId="ColorfulShading-Accent11">
    <w:name w:val="Colorful Shading - Accent 11"/>
    <w:hidden/>
    <w:semiHidden/>
    <w:rPr>
      <w:sz w:val="22"/>
      <w:szCs w:val="22"/>
    </w:rPr>
  </w:style>
  <w:style w:type="character" w:customStyle="1" w:styleId="Heading1Char">
    <w:name w:val="Heading 1 Char"/>
    <w:rPr>
      <w:rFonts w:ascii="Times New Roman" w:eastAsia="Times New Roman" w:hAnsi="Times New Roman"/>
      <w:b/>
      <w:bCs/>
      <w:kern w:val="32"/>
      <w:sz w:val="32"/>
      <w:szCs w:val="32"/>
    </w:rPr>
  </w:style>
  <w:style w:type="paragraph" w:styleId="BodyTextIndent">
    <w:name w:val="Body Text Indent"/>
    <w:basedOn w:val="Normal"/>
    <w:semiHidden/>
    <w:pPr>
      <w:ind w:left="548" w:hanging="274"/>
    </w:pPr>
    <w:rPr>
      <w:rFonts w:eastAsia="Times New Roman"/>
      <w:szCs w:val="24"/>
    </w:rPr>
  </w:style>
  <w:style w:type="character" w:customStyle="1" w:styleId="apple-style-span">
    <w:name w:val="apple-style-span"/>
    <w:basedOn w:val="DefaultParagraphFont"/>
  </w:style>
  <w:style w:type="paragraph" w:styleId="HTMLPreformatted">
    <w:name w:val="HTML Preformatted"/>
    <w:basedOn w:val="Normal"/>
    <w:semiHidden/>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BodyTextIndent2">
    <w:name w:val="Body Text Indent 2"/>
    <w:basedOn w:val="Normal"/>
    <w:semiHidden/>
    <w:pPr>
      <w:spacing w:before="120"/>
      <w:ind w:left="548" w:hanging="274"/>
    </w:pPr>
    <w:rPr>
      <w:rFonts w:eastAsia="Times New Roman"/>
      <w:szCs w:val="24"/>
    </w:rPr>
  </w:style>
  <w:style w:type="paragraph" w:customStyle="1" w:styleId="ColorfulList-Accent11">
    <w:name w:val="Colorful List - Accent 11"/>
    <w:basedOn w:val="Normal"/>
    <w:pPr>
      <w:ind w:left="720"/>
    </w:pPr>
    <w:rPr>
      <w:szCs w:val="24"/>
    </w:rPr>
  </w:style>
  <w:style w:type="paragraph" w:styleId="BodyText2">
    <w:name w:val="Body Text 2"/>
    <w:basedOn w:val="Normal"/>
    <w:semiHidden/>
    <w:pPr>
      <w:spacing w:before="100" w:beforeAutospacing="1" w:after="100" w:afterAutospacing="1"/>
    </w:pPr>
    <w:rPr>
      <w:rFonts w:eastAsia="Times New Roman"/>
      <w:szCs w:val="24"/>
    </w:rPr>
  </w:style>
  <w:style w:type="paragraph" w:styleId="BodyText3">
    <w:name w:val="Body Text 3"/>
    <w:basedOn w:val="Normal"/>
    <w:semiHidden/>
    <w:pPr>
      <w:spacing w:before="60"/>
    </w:pPr>
    <w:rPr>
      <w:rFonts w:eastAsia="Times New Roman"/>
      <w:b/>
      <w:bCs/>
      <w:i/>
      <w:iCs/>
      <w:szCs w:val="24"/>
    </w:rPr>
  </w:style>
  <w:style w:type="paragraph" w:styleId="Title">
    <w:name w:val="Title"/>
    <w:basedOn w:val="Normal"/>
    <w:qFormat/>
    <w:rsid w:val="00BC0C6D"/>
    <w:pPr>
      <w:jc w:val="center"/>
    </w:pPr>
    <w:rPr>
      <w:b/>
      <w:sz w:val="48"/>
      <w:szCs w:val="48"/>
    </w:rPr>
  </w:style>
  <w:style w:type="paragraph" w:customStyle="1" w:styleId="indent">
    <w:name w:val="indent"/>
    <w:basedOn w:val="Normal"/>
    <w:rsid w:val="00DC4B17"/>
    <w:pPr>
      <w:spacing w:beforeLines="1" w:afterLines="1"/>
    </w:pPr>
    <w:rPr>
      <w:rFonts w:ascii="Times" w:hAnsi="Times"/>
      <w:sz w:val="20"/>
      <w:szCs w:val="20"/>
    </w:rPr>
  </w:style>
  <w:style w:type="paragraph" w:styleId="NormalWeb">
    <w:name w:val="Normal (Web)"/>
    <w:basedOn w:val="Normal"/>
    <w:uiPriority w:val="99"/>
    <w:rsid w:val="00EF5C71"/>
    <w:pPr>
      <w:spacing w:beforeLines="1" w:afterLines="1"/>
    </w:pPr>
    <w:rPr>
      <w:rFonts w:ascii="Times" w:hAnsi="Times"/>
      <w:sz w:val="20"/>
      <w:szCs w:val="20"/>
    </w:rPr>
  </w:style>
  <w:style w:type="paragraph" w:styleId="PlainText">
    <w:name w:val="Plain Text"/>
    <w:basedOn w:val="Normal"/>
    <w:link w:val="PlainTextChar"/>
    <w:uiPriority w:val="99"/>
    <w:unhideWhenUsed/>
    <w:rsid w:val="00C01A06"/>
    <w:rPr>
      <w:rFonts w:ascii="Consolas" w:hAnsi="Consolas"/>
      <w:sz w:val="21"/>
      <w:szCs w:val="21"/>
      <w:lang w:val="de-DE"/>
    </w:rPr>
  </w:style>
  <w:style w:type="character" w:customStyle="1" w:styleId="PlainTextChar">
    <w:name w:val="Plain Text Char"/>
    <w:link w:val="PlainText"/>
    <w:uiPriority w:val="99"/>
    <w:rsid w:val="00C01A06"/>
    <w:rPr>
      <w:rFonts w:ascii="Consolas" w:hAnsi="Consolas"/>
      <w:sz w:val="21"/>
      <w:szCs w:val="21"/>
      <w:lang w:val="de-DE"/>
    </w:rPr>
  </w:style>
  <w:style w:type="paragraph" w:customStyle="1" w:styleId="ColorfulShading-Accent12">
    <w:name w:val="Colorful Shading - Accent 12"/>
    <w:hidden/>
    <w:rsid w:val="00920EC6"/>
    <w:rPr>
      <w:sz w:val="22"/>
      <w:szCs w:val="22"/>
    </w:rPr>
  </w:style>
  <w:style w:type="paragraph" w:styleId="TOC1">
    <w:name w:val="toc 1"/>
    <w:basedOn w:val="Normal"/>
    <w:next w:val="Normal"/>
    <w:autoRedefine/>
    <w:uiPriority w:val="39"/>
    <w:rsid w:val="00631E7A"/>
    <w:pPr>
      <w:tabs>
        <w:tab w:val="left" w:pos="720"/>
        <w:tab w:val="right" w:leader="dot" w:pos="9350"/>
      </w:tabs>
      <w:spacing w:before="120" w:after="120"/>
      <w:ind w:left="720" w:hanging="720"/>
    </w:pPr>
    <w:rPr>
      <w:b/>
      <w:bCs/>
      <w:caps/>
      <w:szCs w:val="20"/>
    </w:rPr>
  </w:style>
  <w:style w:type="paragraph" w:styleId="TOC2">
    <w:name w:val="toc 2"/>
    <w:basedOn w:val="Normal"/>
    <w:next w:val="Normal"/>
    <w:autoRedefine/>
    <w:uiPriority w:val="39"/>
    <w:rsid w:val="00631E7A"/>
    <w:pPr>
      <w:ind w:left="220"/>
    </w:pPr>
    <w:rPr>
      <w:smallCaps/>
      <w:szCs w:val="20"/>
    </w:rPr>
  </w:style>
  <w:style w:type="paragraph" w:styleId="TOC3">
    <w:name w:val="toc 3"/>
    <w:basedOn w:val="Normal"/>
    <w:next w:val="Normal"/>
    <w:autoRedefine/>
    <w:rsid w:val="00550568"/>
    <w:pPr>
      <w:ind w:left="440"/>
    </w:pPr>
    <w:rPr>
      <w:rFonts w:ascii="Calibri" w:hAnsi="Calibri"/>
      <w:i/>
      <w:iCs/>
      <w:sz w:val="20"/>
      <w:szCs w:val="20"/>
    </w:rPr>
  </w:style>
  <w:style w:type="paragraph" w:styleId="TOC4">
    <w:name w:val="toc 4"/>
    <w:basedOn w:val="Normal"/>
    <w:next w:val="Normal"/>
    <w:autoRedefine/>
    <w:rsid w:val="00550568"/>
    <w:pPr>
      <w:ind w:left="660"/>
    </w:pPr>
    <w:rPr>
      <w:rFonts w:ascii="Calibri" w:hAnsi="Calibri"/>
      <w:sz w:val="18"/>
      <w:szCs w:val="18"/>
    </w:rPr>
  </w:style>
  <w:style w:type="paragraph" w:styleId="TOC5">
    <w:name w:val="toc 5"/>
    <w:basedOn w:val="Normal"/>
    <w:next w:val="Normal"/>
    <w:autoRedefine/>
    <w:rsid w:val="00550568"/>
    <w:pPr>
      <w:ind w:left="880"/>
    </w:pPr>
    <w:rPr>
      <w:rFonts w:ascii="Calibri" w:hAnsi="Calibri"/>
      <w:sz w:val="18"/>
      <w:szCs w:val="18"/>
    </w:rPr>
  </w:style>
  <w:style w:type="paragraph" w:styleId="TOC6">
    <w:name w:val="toc 6"/>
    <w:basedOn w:val="Normal"/>
    <w:next w:val="Normal"/>
    <w:autoRedefine/>
    <w:rsid w:val="00550568"/>
    <w:pPr>
      <w:ind w:left="1100"/>
    </w:pPr>
    <w:rPr>
      <w:rFonts w:ascii="Calibri" w:hAnsi="Calibri"/>
      <w:sz w:val="18"/>
      <w:szCs w:val="18"/>
    </w:rPr>
  </w:style>
  <w:style w:type="paragraph" w:styleId="TOC7">
    <w:name w:val="toc 7"/>
    <w:basedOn w:val="Normal"/>
    <w:next w:val="Normal"/>
    <w:autoRedefine/>
    <w:rsid w:val="00550568"/>
    <w:pPr>
      <w:ind w:left="1320"/>
    </w:pPr>
    <w:rPr>
      <w:rFonts w:ascii="Calibri" w:hAnsi="Calibri"/>
      <w:sz w:val="18"/>
      <w:szCs w:val="18"/>
    </w:rPr>
  </w:style>
  <w:style w:type="paragraph" w:styleId="TOC8">
    <w:name w:val="toc 8"/>
    <w:basedOn w:val="Normal"/>
    <w:next w:val="Normal"/>
    <w:autoRedefine/>
    <w:rsid w:val="00550568"/>
    <w:pPr>
      <w:ind w:left="1540"/>
    </w:pPr>
    <w:rPr>
      <w:rFonts w:ascii="Calibri" w:hAnsi="Calibri"/>
      <w:sz w:val="18"/>
      <w:szCs w:val="18"/>
    </w:rPr>
  </w:style>
  <w:style w:type="paragraph" w:styleId="TOC9">
    <w:name w:val="toc 9"/>
    <w:basedOn w:val="Normal"/>
    <w:next w:val="Normal"/>
    <w:autoRedefine/>
    <w:rsid w:val="00550568"/>
    <w:pPr>
      <w:ind w:left="1760"/>
    </w:pPr>
    <w:rPr>
      <w:rFonts w:ascii="Calibri" w:hAnsi="Calibri"/>
      <w:sz w:val="18"/>
      <w:szCs w:val="18"/>
    </w:rPr>
  </w:style>
  <w:style w:type="paragraph" w:customStyle="1" w:styleId="TableText">
    <w:name w:val="Table Text"/>
    <w:basedOn w:val="Normal"/>
    <w:rsid w:val="00E84101"/>
    <w:pPr>
      <w:spacing w:line="220" w:lineRule="exact"/>
    </w:pPr>
    <w:rPr>
      <w:rFonts w:ascii="Arial" w:eastAsia="Times New Roman" w:hAnsi="Arial"/>
      <w:sz w:val="18"/>
      <w:szCs w:val="24"/>
    </w:rPr>
  </w:style>
  <w:style w:type="paragraph" w:styleId="ColorfulList-Accent1">
    <w:name w:val="Colorful List Accent 1"/>
    <w:basedOn w:val="Normal"/>
    <w:uiPriority w:val="34"/>
    <w:qFormat/>
    <w:rsid w:val="005E3350"/>
    <w:pPr>
      <w:ind w:left="720"/>
    </w:pPr>
  </w:style>
  <w:style w:type="paragraph" w:customStyle="1" w:styleId="ArabicIndent">
    <w:name w:val="Arabic Indent"/>
    <w:basedOn w:val="Normal"/>
    <w:link w:val="ArabicIndentChar"/>
    <w:rsid w:val="00C60E01"/>
    <w:pPr>
      <w:numPr>
        <w:numId w:val="4"/>
      </w:numPr>
      <w:tabs>
        <w:tab w:val="left" w:pos="1080"/>
      </w:tabs>
      <w:spacing w:before="120"/>
    </w:pPr>
    <w:rPr>
      <w:bCs/>
      <w:szCs w:val="36"/>
      <w:lang/>
    </w:rPr>
  </w:style>
  <w:style w:type="paragraph" w:customStyle="1" w:styleId="Quote">
    <w:name w:val="Quote"/>
    <w:aliases w:val="Italics"/>
    <w:basedOn w:val="Normal"/>
    <w:next w:val="Normal"/>
    <w:link w:val="QuoteChar"/>
    <w:uiPriority w:val="29"/>
    <w:qFormat/>
    <w:rsid w:val="00BC0C6D"/>
    <w:rPr>
      <w:i/>
      <w:iCs/>
      <w:color w:val="000000"/>
      <w:lang/>
    </w:rPr>
  </w:style>
  <w:style w:type="character" w:customStyle="1" w:styleId="ArabicIndentChar">
    <w:name w:val="Arabic Indent Char"/>
    <w:link w:val="ArabicIndent"/>
    <w:rsid w:val="00C60E01"/>
    <w:rPr>
      <w:rFonts w:ascii="Times New Roman" w:hAnsi="Times New Roman"/>
      <w:bCs/>
      <w:sz w:val="24"/>
      <w:szCs w:val="36"/>
    </w:rPr>
  </w:style>
  <w:style w:type="character" w:customStyle="1" w:styleId="QuoteChar">
    <w:name w:val="Quote Char"/>
    <w:aliases w:val="Italics Char"/>
    <w:link w:val="Quote"/>
    <w:uiPriority w:val="29"/>
    <w:rsid w:val="00BC0C6D"/>
    <w:rPr>
      <w:rFonts w:ascii="Times New Roman" w:hAnsi="Times New Roman"/>
      <w:i/>
      <w:iCs/>
      <w:color w:val="000000"/>
      <w:sz w:val="24"/>
      <w:szCs w:val="22"/>
    </w:rPr>
  </w:style>
  <w:style w:type="paragraph" w:customStyle="1" w:styleId="RomanIndent">
    <w:name w:val="Roman Indent"/>
    <w:basedOn w:val="Normal"/>
    <w:link w:val="RomanIndentChar"/>
    <w:rsid w:val="00C60E01"/>
    <w:pPr>
      <w:numPr>
        <w:ilvl w:val="2"/>
        <w:numId w:val="2"/>
      </w:numPr>
      <w:spacing w:before="120"/>
    </w:pPr>
    <w:rPr>
      <w:bCs/>
      <w:lang/>
    </w:rPr>
  </w:style>
  <w:style w:type="paragraph" w:customStyle="1" w:styleId="Default">
    <w:name w:val="Default"/>
    <w:rsid w:val="0058100A"/>
    <w:pPr>
      <w:widowControl w:val="0"/>
      <w:autoSpaceDE w:val="0"/>
      <w:autoSpaceDN w:val="0"/>
      <w:adjustRightInd w:val="0"/>
    </w:pPr>
    <w:rPr>
      <w:rFonts w:ascii="Times New Roman" w:eastAsia="Cambria" w:hAnsi="Times New Roman"/>
      <w:color w:val="000000"/>
      <w:sz w:val="24"/>
      <w:szCs w:val="24"/>
    </w:rPr>
  </w:style>
  <w:style w:type="character" w:customStyle="1" w:styleId="RomanIndentChar">
    <w:name w:val="Roman Indent Char"/>
    <w:link w:val="RomanIndent"/>
    <w:rsid w:val="00C60E01"/>
    <w:rPr>
      <w:rFonts w:ascii="Times New Roman" w:hAnsi="Times New Roman"/>
      <w:bCs/>
      <w:sz w:val="24"/>
      <w:szCs w:val="22"/>
    </w:rPr>
  </w:style>
</w:styles>
</file>

<file path=word/webSettings.xml><?xml version="1.0" encoding="utf-8"?>
<w:webSettings xmlns:r="http://schemas.openxmlformats.org/officeDocument/2006/relationships" xmlns:w="http://schemas.openxmlformats.org/wordprocessingml/2006/main">
  <w:divs>
    <w:div w:id="268589113">
      <w:bodyDiv w:val="1"/>
      <w:marLeft w:val="0"/>
      <w:marRight w:val="0"/>
      <w:marTop w:val="0"/>
      <w:marBottom w:val="0"/>
      <w:divBdr>
        <w:top w:val="none" w:sz="0" w:space="0" w:color="auto"/>
        <w:left w:val="none" w:sz="0" w:space="0" w:color="auto"/>
        <w:bottom w:val="none" w:sz="0" w:space="0" w:color="auto"/>
        <w:right w:val="none" w:sz="0" w:space="0" w:color="auto"/>
      </w:divBdr>
    </w:div>
    <w:div w:id="493882534">
      <w:bodyDiv w:val="1"/>
      <w:marLeft w:val="0"/>
      <w:marRight w:val="0"/>
      <w:marTop w:val="0"/>
      <w:marBottom w:val="0"/>
      <w:divBdr>
        <w:top w:val="none" w:sz="0" w:space="0" w:color="auto"/>
        <w:left w:val="none" w:sz="0" w:space="0" w:color="auto"/>
        <w:bottom w:val="none" w:sz="0" w:space="0" w:color="auto"/>
        <w:right w:val="none" w:sz="0" w:space="0" w:color="auto"/>
      </w:divBdr>
      <w:divsChild>
        <w:div w:id="10054016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86558499">
      <w:bodyDiv w:val="1"/>
      <w:marLeft w:val="0"/>
      <w:marRight w:val="0"/>
      <w:marTop w:val="0"/>
      <w:marBottom w:val="0"/>
      <w:divBdr>
        <w:top w:val="none" w:sz="0" w:space="0" w:color="auto"/>
        <w:left w:val="none" w:sz="0" w:space="0" w:color="auto"/>
        <w:bottom w:val="none" w:sz="0" w:space="0" w:color="auto"/>
        <w:right w:val="none" w:sz="0" w:space="0" w:color="auto"/>
      </w:divBdr>
    </w:div>
    <w:div w:id="926772213">
      <w:bodyDiv w:val="1"/>
      <w:marLeft w:val="0"/>
      <w:marRight w:val="0"/>
      <w:marTop w:val="0"/>
      <w:marBottom w:val="0"/>
      <w:divBdr>
        <w:top w:val="none" w:sz="0" w:space="0" w:color="auto"/>
        <w:left w:val="none" w:sz="0" w:space="0" w:color="auto"/>
        <w:bottom w:val="none" w:sz="0" w:space="0" w:color="auto"/>
        <w:right w:val="none" w:sz="0" w:space="0" w:color="auto"/>
      </w:divBdr>
    </w:div>
    <w:div w:id="1071545117">
      <w:bodyDiv w:val="1"/>
      <w:marLeft w:val="0"/>
      <w:marRight w:val="0"/>
      <w:marTop w:val="0"/>
      <w:marBottom w:val="0"/>
      <w:divBdr>
        <w:top w:val="none" w:sz="0" w:space="0" w:color="auto"/>
        <w:left w:val="none" w:sz="0" w:space="0" w:color="auto"/>
        <w:bottom w:val="none" w:sz="0" w:space="0" w:color="auto"/>
        <w:right w:val="none" w:sz="0" w:space="0" w:color="auto"/>
      </w:divBdr>
    </w:div>
    <w:div w:id="1293945229">
      <w:bodyDiv w:val="1"/>
      <w:marLeft w:val="0"/>
      <w:marRight w:val="0"/>
      <w:marTop w:val="0"/>
      <w:marBottom w:val="0"/>
      <w:divBdr>
        <w:top w:val="none" w:sz="0" w:space="0" w:color="auto"/>
        <w:left w:val="none" w:sz="0" w:space="0" w:color="auto"/>
        <w:bottom w:val="none" w:sz="0" w:space="0" w:color="auto"/>
        <w:right w:val="none" w:sz="0" w:space="0" w:color="auto"/>
      </w:divBdr>
    </w:div>
    <w:div w:id="1370493661">
      <w:bodyDiv w:val="1"/>
      <w:marLeft w:val="0"/>
      <w:marRight w:val="0"/>
      <w:marTop w:val="0"/>
      <w:marBottom w:val="0"/>
      <w:divBdr>
        <w:top w:val="none" w:sz="0" w:space="0" w:color="auto"/>
        <w:left w:val="none" w:sz="0" w:space="0" w:color="auto"/>
        <w:bottom w:val="none" w:sz="0" w:space="0" w:color="auto"/>
        <w:right w:val="none" w:sz="0" w:space="0" w:color="auto"/>
      </w:divBdr>
    </w:div>
    <w:div w:id="1559171080">
      <w:bodyDiv w:val="1"/>
      <w:marLeft w:val="0"/>
      <w:marRight w:val="0"/>
      <w:marTop w:val="0"/>
      <w:marBottom w:val="0"/>
      <w:divBdr>
        <w:top w:val="none" w:sz="0" w:space="0" w:color="auto"/>
        <w:left w:val="none" w:sz="0" w:space="0" w:color="auto"/>
        <w:bottom w:val="none" w:sz="0" w:space="0" w:color="auto"/>
        <w:right w:val="none" w:sz="0" w:space="0" w:color="auto"/>
      </w:divBdr>
      <w:divsChild>
        <w:div w:id="300371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82525168">
      <w:bodyDiv w:val="1"/>
      <w:marLeft w:val="0"/>
      <w:marRight w:val="0"/>
      <w:marTop w:val="0"/>
      <w:marBottom w:val="0"/>
      <w:divBdr>
        <w:top w:val="none" w:sz="0" w:space="0" w:color="auto"/>
        <w:left w:val="none" w:sz="0" w:space="0" w:color="auto"/>
        <w:bottom w:val="none" w:sz="0" w:space="0" w:color="auto"/>
        <w:right w:val="none" w:sz="0" w:space="0" w:color="auto"/>
      </w:divBdr>
    </w:div>
    <w:div w:id="1890340798">
      <w:bodyDiv w:val="1"/>
      <w:marLeft w:val="0"/>
      <w:marRight w:val="0"/>
      <w:marTop w:val="0"/>
      <w:marBottom w:val="0"/>
      <w:divBdr>
        <w:top w:val="none" w:sz="0" w:space="0" w:color="auto"/>
        <w:left w:val="none" w:sz="0" w:space="0" w:color="auto"/>
        <w:bottom w:val="none" w:sz="0" w:space="0" w:color="auto"/>
        <w:right w:val="none" w:sz="0" w:space="0" w:color="auto"/>
      </w:divBdr>
      <w:divsChild>
        <w:div w:id="15877665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9212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28534218">
      <w:bodyDiv w:val="1"/>
      <w:marLeft w:val="0"/>
      <w:marRight w:val="0"/>
      <w:marTop w:val="0"/>
      <w:marBottom w:val="0"/>
      <w:divBdr>
        <w:top w:val="none" w:sz="0" w:space="0" w:color="auto"/>
        <w:left w:val="none" w:sz="0" w:space="0" w:color="auto"/>
        <w:bottom w:val="none" w:sz="0" w:space="0" w:color="auto"/>
        <w:right w:val="none" w:sz="0" w:space="0" w:color="auto"/>
      </w:divBdr>
      <w:divsChild>
        <w:div w:id="84405319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68455611">
      <w:bodyDiv w:val="1"/>
      <w:marLeft w:val="0"/>
      <w:marRight w:val="0"/>
      <w:marTop w:val="0"/>
      <w:marBottom w:val="0"/>
      <w:divBdr>
        <w:top w:val="none" w:sz="0" w:space="0" w:color="auto"/>
        <w:left w:val="none" w:sz="0" w:space="0" w:color="auto"/>
        <w:bottom w:val="none" w:sz="0" w:space="0" w:color="auto"/>
        <w:right w:val="none" w:sz="0" w:space="0" w:color="auto"/>
      </w:divBdr>
    </w:div>
    <w:div w:id="2079937834">
      <w:bodyDiv w:val="1"/>
      <w:marLeft w:val="0"/>
      <w:marRight w:val="0"/>
      <w:marTop w:val="0"/>
      <w:marBottom w:val="0"/>
      <w:divBdr>
        <w:top w:val="none" w:sz="0" w:space="0" w:color="auto"/>
        <w:left w:val="none" w:sz="0" w:space="0" w:color="auto"/>
        <w:bottom w:val="none" w:sz="0" w:space="0" w:color="auto"/>
        <w:right w:val="none" w:sz="0" w:space="0" w:color="auto"/>
      </w:divBdr>
      <w:divsChild>
        <w:div w:id="85997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1483</Words>
  <Characters>8454</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GNSO Operating Rules and Procedures</vt:lpstr>
    </vt:vector>
  </TitlesOfParts>
  <Company/>
  <LinksUpToDate>false</LinksUpToDate>
  <CharactersWithSpaces>9918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GNSO Operating Rules and Procedures</dc:title>
  <dc:creator>Ken Bour</dc:creator>
  <cp:lastModifiedBy>Ray Fassett</cp:lastModifiedBy>
  <cp:revision>2</cp:revision>
  <cp:lastPrinted>2009-04-01T14:23:00Z</cp:lastPrinted>
  <dcterms:created xsi:type="dcterms:W3CDTF">2010-10-19T04:14:00Z</dcterms:created>
  <dcterms:modified xsi:type="dcterms:W3CDTF">2010-10-19T04:14:00Z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